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EB9B5" w14:textId="07A58567" w:rsidR="00176DDE" w:rsidRDefault="00176DDE" w:rsidP="000427F4">
      <w:pPr>
        <w:pStyle w:val="a6"/>
      </w:pPr>
      <w:bookmarkStart w:id="0" w:name="_Hlk74831005"/>
      <w:bookmarkStart w:id="1" w:name="_Hlk66359825"/>
      <w:bookmarkEnd w:id="0"/>
      <w:r w:rsidRPr="000427F4">
        <w:rPr>
          <w:rFonts w:hint="eastAsia"/>
        </w:rPr>
        <w:t>土壤锥形贯入仪</w:t>
      </w:r>
      <w:bookmarkEnd w:id="1"/>
      <w:r w:rsidRPr="000427F4">
        <w:rPr>
          <w:rFonts w:hint="eastAsia"/>
        </w:rPr>
        <w:t>编制说明</w:t>
      </w:r>
    </w:p>
    <w:p w14:paraId="73FB74DD" w14:textId="43A03A7E" w:rsidR="000427F4" w:rsidRPr="009E4595" w:rsidRDefault="000427F4" w:rsidP="000427F4">
      <w:pPr>
        <w:jc w:val="center"/>
        <w:rPr>
          <w:rFonts w:ascii="黑体" w:eastAsia="黑体" w:hAnsi="黑体"/>
          <w:sz w:val="28"/>
          <w:szCs w:val="28"/>
        </w:rPr>
      </w:pPr>
      <w:bookmarkStart w:id="2" w:name="_GoBack"/>
      <w:r w:rsidRPr="009E4595">
        <w:rPr>
          <w:rFonts w:ascii="黑体" w:eastAsia="黑体" w:hAnsi="黑体" w:hint="eastAsia"/>
          <w:sz w:val="28"/>
          <w:szCs w:val="28"/>
        </w:rPr>
        <w:t>（征求意见稿）</w:t>
      </w:r>
    </w:p>
    <w:bookmarkEnd w:id="2"/>
    <w:p w14:paraId="3AA70FB9" w14:textId="77777777" w:rsidR="00176DDE" w:rsidRDefault="00176DDE" w:rsidP="00FC642B">
      <w:pPr>
        <w:pStyle w:val="1"/>
      </w:pPr>
      <w:r>
        <w:t>工作简况</w:t>
      </w:r>
    </w:p>
    <w:p w14:paraId="3613042C" w14:textId="77777777" w:rsidR="00176DDE" w:rsidRPr="00D40F94" w:rsidRDefault="00176DDE" w:rsidP="00D40F94">
      <w:pPr>
        <w:pStyle w:val="2"/>
        <w:spacing w:after="156"/>
      </w:pPr>
      <w:r w:rsidRPr="00D40F94">
        <w:t>任务来源</w:t>
      </w:r>
    </w:p>
    <w:p w14:paraId="1293EF44" w14:textId="6AB5F604" w:rsidR="00176DDE" w:rsidRDefault="00FC642B" w:rsidP="00FC642B">
      <w:pPr>
        <w:pStyle w:val="ac"/>
        <w:ind w:firstLine="480"/>
      </w:pPr>
      <w:r>
        <w:rPr>
          <w:rFonts w:hint="eastAsia"/>
        </w:rPr>
        <w:t>根据</w:t>
      </w:r>
      <w:proofErr w:type="gramStart"/>
      <w:r w:rsidRPr="009A4FFD">
        <w:rPr>
          <w:rFonts w:hint="eastAsia"/>
        </w:rPr>
        <w:t>工信厅科</w:t>
      </w:r>
      <w:proofErr w:type="gramEnd"/>
      <w:r>
        <w:rPr>
          <w:rFonts w:hint="eastAsia"/>
        </w:rPr>
        <w:t>（</w:t>
      </w:r>
      <w:r>
        <w:rPr>
          <w:rFonts w:hint="eastAsia"/>
        </w:rPr>
        <w:t>201</w:t>
      </w:r>
      <w:r>
        <w:t>9</w:t>
      </w:r>
      <w:r>
        <w:rPr>
          <w:rFonts w:hint="eastAsia"/>
        </w:rPr>
        <w:t>）</w:t>
      </w:r>
      <w:r>
        <w:t>245</w:t>
      </w:r>
      <w:r w:rsidRPr="009A4FFD">
        <w:rPr>
          <w:rFonts w:hint="eastAsia"/>
        </w:rPr>
        <w:t>号</w:t>
      </w:r>
      <w:r w:rsidR="00176DDE">
        <w:rPr>
          <w:rFonts w:hint="eastAsia"/>
        </w:rPr>
        <w:t>“</w:t>
      </w:r>
      <w:r w:rsidR="0058209C">
        <w:rPr>
          <w:rFonts w:hint="eastAsia"/>
        </w:rPr>
        <w:t>工业和信息化部办公厅</w:t>
      </w:r>
      <w:r w:rsidR="00176DDE" w:rsidRPr="00A26112">
        <w:rPr>
          <w:rFonts w:hint="eastAsia"/>
        </w:rPr>
        <w:t>关于印发</w:t>
      </w:r>
      <w:r w:rsidR="00176DDE">
        <w:rPr>
          <w:rFonts w:hint="eastAsia"/>
        </w:rPr>
        <w:t>201</w:t>
      </w:r>
      <w:r w:rsidR="0058209C">
        <w:t>9</w:t>
      </w:r>
      <w:r w:rsidR="00176DDE" w:rsidRPr="00A26112">
        <w:rPr>
          <w:rFonts w:hint="eastAsia"/>
        </w:rPr>
        <w:t>年第</w:t>
      </w:r>
      <w:r w:rsidR="0058209C">
        <w:rPr>
          <w:rFonts w:hint="eastAsia"/>
        </w:rPr>
        <w:t>三</w:t>
      </w:r>
      <w:r w:rsidR="00176DDE" w:rsidRPr="00A26112">
        <w:rPr>
          <w:rFonts w:hint="eastAsia"/>
        </w:rPr>
        <w:t>批行业标准制修订</w:t>
      </w:r>
      <w:r w:rsidR="0058209C">
        <w:rPr>
          <w:rFonts w:hint="eastAsia"/>
        </w:rPr>
        <w:t>项目</w:t>
      </w:r>
      <w:r w:rsidR="00176DDE" w:rsidRPr="00A26112">
        <w:rPr>
          <w:rFonts w:hint="eastAsia"/>
        </w:rPr>
        <w:t>计划的通知</w:t>
      </w:r>
      <w:r w:rsidR="00176DDE">
        <w:rPr>
          <w:rFonts w:hint="eastAsia"/>
        </w:rPr>
        <w:t>”</w:t>
      </w:r>
      <w:r>
        <w:rPr>
          <w:rFonts w:hint="eastAsia"/>
        </w:rPr>
        <w:t>，确立了《</w:t>
      </w:r>
      <w:r w:rsidRPr="00FC642B">
        <w:rPr>
          <w:rFonts w:hint="eastAsia"/>
        </w:rPr>
        <w:t>土壤锥形贯入仪</w:t>
      </w:r>
      <w:r>
        <w:rPr>
          <w:rFonts w:hint="eastAsia"/>
        </w:rPr>
        <w:t>》行业标准制定任务，计划编号</w:t>
      </w:r>
      <w:r w:rsidRPr="00FC642B">
        <w:t>2019-1174T-JB</w:t>
      </w:r>
      <w:r w:rsidR="00176DDE">
        <w:t>。</w:t>
      </w:r>
      <w:proofErr w:type="gramStart"/>
      <w:r>
        <w:rPr>
          <w:rFonts w:hint="eastAsia"/>
        </w:rPr>
        <w:t>本任务</w:t>
      </w:r>
      <w:proofErr w:type="gramEnd"/>
      <w:r>
        <w:rPr>
          <w:rFonts w:hint="eastAsia"/>
        </w:rPr>
        <w:t>由</w:t>
      </w:r>
      <w:r w:rsidRPr="00FC642B">
        <w:rPr>
          <w:rFonts w:hint="eastAsia"/>
        </w:rPr>
        <w:t>全国农业机械标准化技术委员会（</w:t>
      </w:r>
      <w:r w:rsidR="00D713F7">
        <w:rPr>
          <w:rFonts w:hint="eastAsia"/>
        </w:rPr>
        <w:t>SAC/</w:t>
      </w:r>
      <w:r w:rsidRPr="00FC642B">
        <w:t>TC201</w:t>
      </w:r>
      <w:r w:rsidRPr="00FC642B">
        <w:t>）</w:t>
      </w:r>
      <w:r>
        <w:rPr>
          <w:rFonts w:hint="eastAsia"/>
        </w:rPr>
        <w:t>提出并归口，主要起草单位有农业农村部南京农业机械化研究所、机械工业耕作机械产品质量检测中心等。</w:t>
      </w:r>
      <w:r w:rsidR="007127F9">
        <w:rPr>
          <w:rFonts w:hint="eastAsia"/>
        </w:rPr>
        <w:t>计划完成时间为</w:t>
      </w:r>
      <w:r w:rsidR="007127F9">
        <w:rPr>
          <w:rFonts w:hint="eastAsia"/>
        </w:rPr>
        <w:t>2</w:t>
      </w:r>
      <w:r w:rsidR="007127F9">
        <w:t>021</w:t>
      </w:r>
      <w:r w:rsidR="007127F9">
        <w:rPr>
          <w:rFonts w:hint="eastAsia"/>
        </w:rPr>
        <w:t>年。</w:t>
      </w:r>
    </w:p>
    <w:p w14:paraId="2262513F" w14:textId="77777777" w:rsidR="00176DDE" w:rsidRDefault="00176DDE" w:rsidP="00176DDE">
      <w:pPr>
        <w:pStyle w:val="2"/>
        <w:spacing w:after="156"/>
      </w:pPr>
      <w:r>
        <w:t>主要工作过程</w:t>
      </w:r>
    </w:p>
    <w:p w14:paraId="253BE97C" w14:textId="3D76EC17" w:rsidR="00176DDE" w:rsidRDefault="00176DDE" w:rsidP="00C05482">
      <w:pPr>
        <w:pStyle w:val="ac"/>
        <w:ind w:firstLine="480"/>
      </w:pPr>
      <w:r>
        <w:t>20</w:t>
      </w:r>
      <w:r w:rsidR="0058209C">
        <w:t>20</w:t>
      </w:r>
      <w:r>
        <w:t>年</w:t>
      </w:r>
      <w:r w:rsidR="00003ABD">
        <w:t>6</w:t>
      </w:r>
      <w:r>
        <w:t>月，</w:t>
      </w:r>
      <w:r w:rsidR="00C05482">
        <w:rPr>
          <w:rFonts w:hint="eastAsia"/>
        </w:rPr>
        <w:t>牵头制定单位</w:t>
      </w:r>
      <w:r w:rsidR="004501A2" w:rsidRPr="004501A2">
        <w:rPr>
          <w:rFonts w:hint="eastAsia"/>
        </w:rPr>
        <w:t>农业农村部南京农业机械化研究所</w:t>
      </w:r>
      <w:r w:rsidR="00C05482">
        <w:rPr>
          <w:rFonts w:hint="eastAsia"/>
        </w:rPr>
        <w:t>依据任务</w:t>
      </w:r>
      <w:r w:rsidR="005F1158">
        <w:t>成立</w:t>
      </w:r>
      <w:r w:rsidR="00C05482">
        <w:rPr>
          <w:rFonts w:hint="eastAsia"/>
        </w:rPr>
        <w:t>了标准制定工作</w:t>
      </w:r>
      <w:r w:rsidR="005F1158">
        <w:t>组，</w:t>
      </w:r>
      <w:r w:rsidR="00C05482">
        <w:rPr>
          <w:rFonts w:hint="eastAsia"/>
        </w:rPr>
        <w:t>确定了工作方案，</w:t>
      </w:r>
      <w:r>
        <w:t>拟定</w:t>
      </w:r>
      <w:r w:rsidR="00C05482">
        <w:rPr>
          <w:rFonts w:hint="eastAsia"/>
        </w:rPr>
        <w:t>了</w:t>
      </w:r>
      <w:r>
        <w:t>工作计划、进度和要求。</w:t>
      </w:r>
      <w:r w:rsidR="00512315">
        <w:rPr>
          <w:rFonts w:hint="eastAsia"/>
        </w:rPr>
        <w:t>2</w:t>
      </w:r>
      <w:r w:rsidR="00512315">
        <w:t>020</w:t>
      </w:r>
      <w:r w:rsidR="00512315">
        <w:rPr>
          <w:rFonts w:hint="eastAsia"/>
        </w:rPr>
        <w:t>年</w:t>
      </w:r>
      <w:r w:rsidR="00512315">
        <w:rPr>
          <w:rFonts w:hint="eastAsia"/>
        </w:rPr>
        <w:t>6</w:t>
      </w:r>
      <w:r w:rsidR="00512315">
        <w:rPr>
          <w:rFonts w:hint="eastAsia"/>
        </w:rPr>
        <w:t>月至</w:t>
      </w:r>
      <w:r w:rsidR="00512315">
        <w:rPr>
          <w:rFonts w:hint="eastAsia"/>
        </w:rPr>
        <w:t>2</w:t>
      </w:r>
      <w:r w:rsidR="00512315">
        <w:t>020</w:t>
      </w:r>
      <w:r w:rsidR="00512315">
        <w:rPr>
          <w:rFonts w:hint="eastAsia"/>
        </w:rPr>
        <w:t>年</w:t>
      </w:r>
      <w:r w:rsidR="00512315">
        <w:t>9</w:t>
      </w:r>
      <w:r w:rsidR="00512315">
        <w:rPr>
          <w:rFonts w:hint="eastAsia"/>
        </w:rPr>
        <w:t>月，</w:t>
      </w:r>
      <w:r w:rsidR="00C05482">
        <w:rPr>
          <w:rFonts w:hint="eastAsia"/>
        </w:rPr>
        <w:t>工作组开展了</w:t>
      </w:r>
      <w:r w:rsidR="00023199">
        <w:rPr>
          <w:rFonts w:hint="eastAsia"/>
        </w:rPr>
        <w:t>文献、</w:t>
      </w:r>
      <w:r w:rsidR="00C05482">
        <w:rPr>
          <w:rFonts w:hint="eastAsia"/>
        </w:rPr>
        <w:t>网络调研，广泛收集了</w:t>
      </w:r>
      <w:r w:rsidR="00C05482" w:rsidRPr="00C05482">
        <w:rPr>
          <w:rFonts w:hint="eastAsia"/>
        </w:rPr>
        <w:t>土壤锥形贯入仪</w:t>
      </w:r>
      <w:r w:rsidR="00C05482">
        <w:rPr>
          <w:rFonts w:hint="eastAsia"/>
        </w:rPr>
        <w:t>的研究报告、论文、标准</w:t>
      </w:r>
      <w:r w:rsidR="004501A2">
        <w:rPr>
          <w:rFonts w:hint="eastAsia"/>
        </w:rPr>
        <w:t>、产品</w:t>
      </w:r>
      <w:r w:rsidR="00C05482">
        <w:rPr>
          <w:rFonts w:hint="eastAsia"/>
        </w:rPr>
        <w:t>等</w:t>
      </w:r>
      <w:r w:rsidR="00512315">
        <w:rPr>
          <w:rFonts w:hint="eastAsia"/>
        </w:rPr>
        <w:t>中外文</w:t>
      </w:r>
      <w:r w:rsidR="00C05482">
        <w:rPr>
          <w:rFonts w:hint="eastAsia"/>
        </w:rPr>
        <w:t>技术</w:t>
      </w:r>
      <w:r w:rsidR="00512315">
        <w:rPr>
          <w:rFonts w:hint="eastAsia"/>
        </w:rPr>
        <w:t>资料。</w:t>
      </w:r>
      <w:r w:rsidR="004501A2">
        <w:rPr>
          <w:rFonts w:hint="eastAsia"/>
        </w:rPr>
        <w:t>同时，对市场上现有产品开展了田间试验。</w:t>
      </w:r>
      <w:r w:rsidR="00512315">
        <w:rPr>
          <w:rFonts w:hint="eastAsia"/>
        </w:rPr>
        <w:t>2</w:t>
      </w:r>
      <w:r w:rsidR="00512315">
        <w:t>020</w:t>
      </w:r>
      <w:r w:rsidR="00512315">
        <w:rPr>
          <w:rFonts w:hint="eastAsia"/>
        </w:rPr>
        <w:t>年</w:t>
      </w:r>
      <w:r w:rsidR="00512315">
        <w:rPr>
          <w:rFonts w:hint="eastAsia"/>
        </w:rPr>
        <w:t>9</w:t>
      </w:r>
      <w:r w:rsidR="00512315">
        <w:rPr>
          <w:rFonts w:hint="eastAsia"/>
        </w:rPr>
        <w:t>月至</w:t>
      </w:r>
      <w:r w:rsidR="00512315">
        <w:rPr>
          <w:rFonts w:hint="eastAsia"/>
        </w:rPr>
        <w:t>2</w:t>
      </w:r>
      <w:r w:rsidR="00512315">
        <w:t>020</w:t>
      </w:r>
      <w:r w:rsidR="00512315">
        <w:rPr>
          <w:rFonts w:hint="eastAsia"/>
        </w:rPr>
        <w:t>年</w:t>
      </w:r>
      <w:r w:rsidR="00512315">
        <w:rPr>
          <w:rFonts w:hint="eastAsia"/>
        </w:rPr>
        <w:t>1</w:t>
      </w:r>
      <w:r w:rsidR="00512315">
        <w:t>2</w:t>
      </w:r>
      <w:r w:rsidR="00512315">
        <w:rPr>
          <w:rFonts w:hint="eastAsia"/>
        </w:rPr>
        <w:t>月，开展离散元仿真分析。</w:t>
      </w:r>
      <w:r w:rsidR="00512315">
        <w:t>2020</w:t>
      </w:r>
      <w:r w:rsidR="00512315">
        <w:t>年</w:t>
      </w:r>
      <w:r w:rsidR="00512315">
        <w:rPr>
          <w:rFonts w:hint="eastAsia"/>
        </w:rPr>
        <w:t>12</w:t>
      </w:r>
      <w:r w:rsidR="00512315">
        <w:t>月，</w:t>
      </w:r>
      <w:r w:rsidR="00512315">
        <w:rPr>
          <w:rFonts w:hint="eastAsia"/>
        </w:rPr>
        <w:t>因新冠疫情，向标委会提出延期半年申请</w:t>
      </w:r>
      <w:r w:rsidR="00512315">
        <w:t>。</w:t>
      </w:r>
      <w:r w:rsidR="00512315">
        <w:rPr>
          <w:rFonts w:hint="eastAsia"/>
        </w:rPr>
        <w:t>2</w:t>
      </w:r>
      <w:r w:rsidR="00512315">
        <w:t>021</w:t>
      </w:r>
      <w:r w:rsidR="00512315">
        <w:rPr>
          <w:rFonts w:hint="eastAsia"/>
        </w:rPr>
        <w:t>年</w:t>
      </w:r>
      <w:r w:rsidR="00512315">
        <w:rPr>
          <w:rFonts w:hint="eastAsia"/>
        </w:rPr>
        <w:t>1</w:t>
      </w:r>
      <w:r w:rsidR="00512315">
        <w:rPr>
          <w:rFonts w:hint="eastAsia"/>
        </w:rPr>
        <w:t>月至</w:t>
      </w:r>
      <w:r w:rsidR="00512315" w:rsidRPr="00512315">
        <w:t>2021</w:t>
      </w:r>
      <w:r w:rsidR="00512315" w:rsidRPr="00512315">
        <w:t>年</w:t>
      </w:r>
      <w:r w:rsidR="00512315" w:rsidRPr="00512315">
        <w:t>3</w:t>
      </w:r>
      <w:r w:rsidR="00512315" w:rsidRPr="00512315">
        <w:t>月</w:t>
      </w:r>
      <w:r w:rsidR="00512315">
        <w:rPr>
          <w:rFonts w:hint="eastAsia"/>
        </w:rPr>
        <w:t>，</w:t>
      </w:r>
      <w:r w:rsidR="00003ABD">
        <w:rPr>
          <w:rFonts w:hint="eastAsia"/>
        </w:rPr>
        <w:t>学习</w:t>
      </w:r>
      <w:r w:rsidR="00C05482">
        <w:rPr>
          <w:rFonts w:hint="eastAsia"/>
        </w:rPr>
        <w:t>产品</w:t>
      </w:r>
      <w:r w:rsidR="00003ABD">
        <w:rPr>
          <w:rFonts w:hint="eastAsia"/>
        </w:rPr>
        <w:t>标准编写方法，学习新版标准编写标准</w:t>
      </w:r>
      <w:r w:rsidR="00003ABD" w:rsidRPr="005F7607">
        <w:t>GB</w:t>
      </w:r>
      <w:r w:rsidR="00003ABD">
        <w:t>/</w:t>
      </w:r>
      <w:r w:rsidR="00003ABD" w:rsidRPr="005F7607">
        <w:t xml:space="preserve">T 1.1-2020 </w:t>
      </w:r>
      <w:r w:rsidR="00003ABD">
        <w:rPr>
          <w:rFonts w:hint="eastAsia"/>
        </w:rPr>
        <w:t>《</w:t>
      </w:r>
      <w:r w:rsidR="00003ABD" w:rsidRPr="005F7607">
        <w:t>标准化工作导则</w:t>
      </w:r>
      <w:r w:rsidR="00003ABD" w:rsidRPr="005F7607">
        <w:t xml:space="preserve"> </w:t>
      </w:r>
      <w:r w:rsidR="00003ABD" w:rsidRPr="005F7607">
        <w:t>第</w:t>
      </w:r>
      <w:r w:rsidR="00003ABD" w:rsidRPr="005F7607">
        <w:t>1</w:t>
      </w:r>
      <w:r w:rsidR="00003ABD" w:rsidRPr="005F7607">
        <w:t>部分：标准化文件的结构和起草规则</w:t>
      </w:r>
      <w:r w:rsidR="00003ABD">
        <w:rPr>
          <w:rFonts w:hint="eastAsia"/>
        </w:rPr>
        <w:t>》。</w:t>
      </w:r>
      <w:r w:rsidR="004501A2">
        <w:rPr>
          <w:rFonts w:hint="eastAsia"/>
        </w:rPr>
        <w:t>组织工作组进行内部讨论，</w:t>
      </w:r>
      <w:r w:rsidR="006A56EC" w:rsidRPr="006A56EC">
        <w:rPr>
          <w:rFonts w:hint="eastAsia"/>
        </w:rPr>
        <w:t>完成工作组讨论稿</w:t>
      </w:r>
      <w:r w:rsidR="006A56EC">
        <w:rPr>
          <w:rFonts w:hint="eastAsia"/>
        </w:rPr>
        <w:t>。</w:t>
      </w:r>
      <w:r w:rsidR="00512315" w:rsidRPr="00512315">
        <w:t>2021</w:t>
      </w:r>
      <w:r w:rsidR="00512315" w:rsidRPr="00512315">
        <w:t>年</w:t>
      </w:r>
      <w:r w:rsidR="00512315">
        <w:t>3</w:t>
      </w:r>
      <w:r w:rsidR="00512315" w:rsidRPr="00512315">
        <w:t>月</w:t>
      </w:r>
      <w:r w:rsidR="00512315">
        <w:rPr>
          <w:rFonts w:hint="eastAsia"/>
        </w:rPr>
        <w:t>至</w:t>
      </w:r>
      <w:r w:rsidR="00512315" w:rsidRPr="00512315">
        <w:t>2021</w:t>
      </w:r>
      <w:r w:rsidR="00512315" w:rsidRPr="00512315">
        <w:t>年</w:t>
      </w:r>
      <w:r w:rsidR="00512315" w:rsidRPr="00512315">
        <w:t>6</w:t>
      </w:r>
      <w:r w:rsidR="00512315" w:rsidRPr="00512315">
        <w:t>月</w:t>
      </w:r>
      <w:r w:rsidR="00512315">
        <w:rPr>
          <w:rFonts w:hint="eastAsia"/>
        </w:rPr>
        <w:t>，</w:t>
      </w:r>
      <w:r w:rsidR="004501A2">
        <w:rPr>
          <w:rFonts w:hint="eastAsia"/>
        </w:rPr>
        <w:t>在田间试验、仿真分析、以及对技术资料进行研究消化的基础上，</w:t>
      </w:r>
      <w:r w:rsidR="00003ABD">
        <w:rPr>
          <w:rFonts w:hint="eastAsia"/>
        </w:rPr>
        <w:t>完成</w:t>
      </w:r>
      <w:r w:rsidR="006A56EC">
        <w:rPr>
          <w:rFonts w:hint="eastAsia"/>
        </w:rPr>
        <w:t>征求意见</w:t>
      </w:r>
      <w:r w:rsidR="00003ABD">
        <w:rPr>
          <w:rFonts w:hint="eastAsia"/>
        </w:rPr>
        <w:t>稿</w:t>
      </w:r>
      <w:r w:rsidR="006A56EC">
        <w:rPr>
          <w:rFonts w:hint="eastAsia"/>
        </w:rPr>
        <w:t>及其编制说明</w:t>
      </w:r>
      <w:r w:rsidR="00512315">
        <w:rPr>
          <w:rFonts w:hint="eastAsia"/>
        </w:rPr>
        <w:t>，</w:t>
      </w:r>
      <w:r w:rsidR="00003ABD">
        <w:rPr>
          <w:rFonts w:hint="eastAsia"/>
        </w:rPr>
        <w:t>开始征求意见</w:t>
      </w:r>
      <w:r>
        <w:rPr>
          <w:rFonts w:hint="eastAsia"/>
        </w:rPr>
        <w:t>。</w:t>
      </w:r>
    </w:p>
    <w:p w14:paraId="2ECF7EB6" w14:textId="02EDABFE" w:rsidR="00176DDE" w:rsidRDefault="00176DDE" w:rsidP="00176DDE">
      <w:pPr>
        <w:pStyle w:val="1"/>
      </w:pPr>
      <w:r>
        <w:t>标准编制原则和</w:t>
      </w:r>
      <w:r w:rsidR="008A3D21" w:rsidRPr="008A3D21">
        <w:rPr>
          <w:rFonts w:hint="eastAsia"/>
        </w:rPr>
        <w:t>主要内容的</w:t>
      </w:r>
      <w:r w:rsidR="007A7AAF">
        <w:rPr>
          <w:rFonts w:hint="eastAsia"/>
        </w:rPr>
        <w:t>论</w:t>
      </w:r>
      <w:r w:rsidR="008A3D21" w:rsidRPr="008A3D21">
        <w:rPr>
          <w:rFonts w:hint="eastAsia"/>
        </w:rPr>
        <w:t>据</w:t>
      </w:r>
      <w:r w:rsidR="007A7AAF">
        <w:rPr>
          <w:rFonts w:hint="eastAsia"/>
        </w:rPr>
        <w:t>、解决的主要问题</w:t>
      </w:r>
    </w:p>
    <w:p w14:paraId="6BCDECF4" w14:textId="63D69CD9" w:rsidR="007A7AAF" w:rsidRDefault="007A7AAF" w:rsidP="007A7AAF">
      <w:pPr>
        <w:pStyle w:val="2"/>
        <w:numPr>
          <w:ilvl w:val="0"/>
          <w:numId w:val="22"/>
        </w:numPr>
        <w:spacing w:after="156"/>
      </w:pPr>
      <w:r>
        <w:rPr>
          <w:rFonts w:hint="eastAsia"/>
        </w:rPr>
        <w:t>标准编制原则</w:t>
      </w:r>
    </w:p>
    <w:p w14:paraId="4E558A4D" w14:textId="7E985AB2" w:rsidR="00FC2458" w:rsidRDefault="00FC2458" w:rsidP="00D40F94">
      <w:pPr>
        <w:pStyle w:val="ac"/>
        <w:ind w:firstLine="480"/>
      </w:pPr>
      <w:r>
        <w:rPr>
          <w:rFonts w:hint="eastAsia"/>
        </w:rPr>
        <w:t>标准的编制遵循规范性原则，</w:t>
      </w:r>
      <w:r w:rsidR="008A3D21">
        <w:rPr>
          <w:rFonts w:hint="eastAsia"/>
        </w:rPr>
        <w:t>标准文本的</w:t>
      </w:r>
      <w:r w:rsidR="005F7607" w:rsidRPr="005F7607">
        <w:rPr>
          <w:rFonts w:hint="eastAsia"/>
        </w:rPr>
        <w:t>格式按</w:t>
      </w:r>
      <w:r w:rsidR="008A3D21">
        <w:rPr>
          <w:rFonts w:hint="eastAsia"/>
        </w:rPr>
        <w:t>新版</w:t>
      </w:r>
      <w:r w:rsidR="005F7607" w:rsidRPr="005F7607">
        <w:t>GB</w:t>
      </w:r>
      <w:r w:rsidR="005F7607">
        <w:t>/</w:t>
      </w:r>
      <w:r w:rsidR="005F7607" w:rsidRPr="005F7607">
        <w:t xml:space="preserve">T 1.1-2020 </w:t>
      </w:r>
      <w:r w:rsidR="008A3D21">
        <w:rPr>
          <w:rFonts w:hint="eastAsia"/>
        </w:rPr>
        <w:t>《</w:t>
      </w:r>
      <w:r w:rsidR="005F7607" w:rsidRPr="005F7607">
        <w:t>标准化工作导则</w:t>
      </w:r>
      <w:r w:rsidR="005F7607" w:rsidRPr="005F7607">
        <w:t xml:space="preserve"> </w:t>
      </w:r>
      <w:r w:rsidR="005F7607" w:rsidRPr="005F7607">
        <w:t>第</w:t>
      </w:r>
      <w:r w:rsidR="005F7607" w:rsidRPr="005F7607">
        <w:t>1</w:t>
      </w:r>
      <w:r w:rsidR="005F7607" w:rsidRPr="005F7607">
        <w:t>部分：标准化文件的结构和起草规则</w:t>
      </w:r>
      <w:r w:rsidR="008A3D21">
        <w:rPr>
          <w:rFonts w:hint="eastAsia"/>
        </w:rPr>
        <w:t>》</w:t>
      </w:r>
      <w:r w:rsidR="00D63CB5">
        <w:rPr>
          <w:rFonts w:hint="eastAsia"/>
        </w:rPr>
        <w:t>标准</w:t>
      </w:r>
      <w:r w:rsidR="005F7607" w:rsidRPr="005F7607">
        <w:t>进行</w:t>
      </w:r>
      <w:r w:rsidR="00003ABD">
        <w:rPr>
          <w:rFonts w:hint="eastAsia"/>
        </w:rPr>
        <w:t>编制</w:t>
      </w:r>
      <w:r w:rsidR="00176DDE">
        <w:rPr>
          <w:rFonts w:hint="eastAsia"/>
        </w:rPr>
        <w:t>。</w:t>
      </w:r>
      <w:r>
        <w:rPr>
          <w:rFonts w:hint="eastAsia"/>
        </w:rPr>
        <w:t>标准</w:t>
      </w:r>
      <w:r w:rsidR="00425A4A">
        <w:rPr>
          <w:rFonts w:hint="eastAsia"/>
        </w:rPr>
        <w:t>内容</w:t>
      </w:r>
      <w:r>
        <w:rPr>
          <w:rFonts w:hint="eastAsia"/>
        </w:rPr>
        <w:t>的编制依据土壤锥形贯入仪产品</w:t>
      </w:r>
      <w:r w:rsidRPr="00FC2458">
        <w:rPr>
          <w:rFonts w:hint="eastAsia"/>
        </w:rPr>
        <w:t>发展的趋势</w:t>
      </w:r>
      <w:r>
        <w:rPr>
          <w:rFonts w:hint="eastAsia"/>
        </w:rPr>
        <w:t>，结合</w:t>
      </w:r>
      <w:r w:rsidRPr="00FC2458">
        <w:rPr>
          <w:rFonts w:hint="eastAsia"/>
        </w:rPr>
        <w:t>当前产品的技术状况、工</w:t>
      </w:r>
      <w:r w:rsidRPr="00FC2458">
        <w:rPr>
          <w:rFonts w:hint="eastAsia"/>
        </w:rPr>
        <w:lastRenderedPageBreak/>
        <w:t>艺及设备水平</w:t>
      </w:r>
      <w:r>
        <w:rPr>
          <w:rFonts w:hint="eastAsia"/>
        </w:rPr>
        <w:t>，注重标准的可操作性，确保</w:t>
      </w:r>
      <w:r w:rsidRPr="00FC2458">
        <w:rPr>
          <w:rFonts w:hint="eastAsia"/>
        </w:rPr>
        <w:t>所确定的技术内容</w:t>
      </w:r>
      <w:r w:rsidR="00425A4A">
        <w:rPr>
          <w:rFonts w:hint="eastAsia"/>
        </w:rPr>
        <w:t>具备</w:t>
      </w:r>
      <w:r w:rsidRPr="00FC2458">
        <w:rPr>
          <w:rFonts w:hint="eastAsia"/>
        </w:rPr>
        <w:t>科学</w:t>
      </w:r>
      <w:r>
        <w:rPr>
          <w:rFonts w:hint="eastAsia"/>
        </w:rPr>
        <w:t>性</w:t>
      </w:r>
      <w:r w:rsidRPr="00FC2458">
        <w:rPr>
          <w:rFonts w:hint="eastAsia"/>
        </w:rPr>
        <w:t>、合理</w:t>
      </w:r>
      <w:r>
        <w:rPr>
          <w:rFonts w:hint="eastAsia"/>
        </w:rPr>
        <w:t>性</w:t>
      </w:r>
      <w:r w:rsidRPr="00FC2458">
        <w:rPr>
          <w:rFonts w:hint="eastAsia"/>
        </w:rPr>
        <w:t>、先进</w:t>
      </w:r>
      <w:r>
        <w:rPr>
          <w:rFonts w:hint="eastAsia"/>
        </w:rPr>
        <w:t>性和</w:t>
      </w:r>
      <w:r w:rsidRPr="00FC2458">
        <w:rPr>
          <w:rFonts w:hint="eastAsia"/>
        </w:rPr>
        <w:t>适用</w:t>
      </w:r>
      <w:r>
        <w:rPr>
          <w:rFonts w:hint="eastAsia"/>
        </w:rPr>
        <w:t>性。</w:t>
      </w:r>
    </w:p>
    <w:p w14:paraId="72391803" w14:textId="28B48DB2" w:rsidR="007A7AAF" w:rsidRDefault="007A7AAF" w:rsidP="007A7AAF">
      <w:pPr>
        <w:pStyle w:val="2"/>
        <w:spacing w:after="156"/>
      </w:pPr>
      <w:r w:rsidRPr="007A7AAF">
        <w:rPr>
          <w:rFonts w:hint="eastAsia"/>
        </w:rPr>
        <w:t>主要内容的论据</w:t>
      </w:r>
    </w:p>
    <w:p w14:paraId="2BD7D47D" w14:textId="34EBA7A3" w:rsidR="000543FE" w:rsidRDefault="000543FE" w:rsidP="000543FE">
      <w:pPr>
        <w:pStyle w:val="3"/>
        <w:spacing w:after="156"/>
      </w:pPr>
      <w:r>
        <w:rPr>
          <w:rFonts w:hint="eastAsia"/>
        </w:rPr>
        <w:t>关于锥头底面直径的确定</w:t>
      </w:r>
    </w:p>
    <w:p w14:paraId="11FF8014" w14:textId="127883FE" w:rsidR="000543FE" w:rsidRDefault="000543FE" w:rsidP="00D40F94">
      <w:pPr>
        <w:pStyle w:val="ac"/>
        <w:ind w:firstLine="480"/>
      </w:pPr>
      <w:r>
        <w:rPr>
          <w:rFonts w:hint="eastAsia"/>
        </w:rPr>
        <w:t>现有资料表明，</w:t>
      </w:r>
      <w:r w:rsidR="00941D4A">
        <w:rPr>
          <w:rFonts w:hint="eastAsia"/>
        </w:rPr>
        <w:t>无论国内外，</w:t>
      </w:r>
      <w:r>
        <w:rPr>
          <w:rFonts w:hint="eastAsia"/>
        </w:rPr>
        <w:t>技术文件提及的以及生产企业制造的土壤锥形贯入仪使用的锥头尺寸各式各样，</w:t>
      </w:r>
      <w:r w:rsidR="000B0404">
        <w:rPr>
          <w:rFonts w:hint="eastAsia"/>
        </w:rPr>
        <w:t>多达</w:t>
      </w:r>
      <w:r w:rsidR="000B0404">
        <w:rPr>
          <w:rFonts w:hint="eastAsia"/>
        </w:rPr>
        <w:t>1</w:t>
      </w:r>
      <w:r w:rsidR="000B0404">
        <w:t>3</w:t>
      </w:r>
      <w:r w:rsidR="000B0404">
        <w:rPr>
          <w:rFonts w:hint="eastAsia"/>
        </w:rPr>
        <w:t>种，见表</w:t>
      </w:r>
      <w:r w:rsidR="000B0404">
        <w:rPr>
          <w:rFonts w:hint="eastAsia"/>
        </w:rPr>
        <w:t>1</w:t>
      </w:r>
      <w:r>
        <w:rPr>
          <w:rFonts w:hint="eastAsia"/>
        </w:rPr>
        <w:t>。</w:t>
      </w:r>
    </w:p>
    <w:p w14:paraId="11E12961" w14:textId="77777777" w:rsidR="000543FE" w:rsidRDefault="000543FE" w:rsidP="000543FE">
      <w:pPr>
        <w:pStyle w:val="a9"/>
        <w:keepNext/>
        <w:jc w:val="center"/>
      </w:pPr>
      <w:r>
        <w:t>表</w:t>
      </w:r>
      <w:r>
        <w:t xml:space="preserve"> </w:t>
      </w:r>
      <w:r>
        <w:fldChar w:fldCharType="begin"/>
      </w:r>
      <w:r>
        <w:instrText xml:space="preserve"> SEQ </w:instrText>
      </w:r>
      <w:r>
        <w:instrText>表</w:instrText>
      </w:r>
      <w:r>
        <w:instrText xml:space="preserve"> \* ARABIC </w:instrText>
      </w:r>
      <w:r>
        <w:fldChar w:fldCharType="separate"/>
      </w:r>
      <w:r>
        <w:rPr>
          <w:noProof/>
        </w:rPr>
        <w:t>1</w:t>
      </w:r>
      <w:r>
        <w:fldChar w:fldCharType="end"/>
      </w:r>
      <w:r>
        <w:t xml:space="preserve">  </w:t>
      </w:r>
      <w:r>
        <w:rPr>
          <w:rFonts w:hint="eastAsia"/>
        </w:rPr>
        <w:t>各种锥头规格</w:t>
      </w:r>
    </w:p>
    <w:tbl>
      <w:tblPr>
        <w:tblStyle w:val="a7"/>
        <w:tblW w:w="5000" w:type="pct"/>
        <w:tblLook w:val="04A0" w:firstRow="1" w:lastRow="0" w:firstColumn="1" w:lastColumn="0" w:noHBand="0" w:noVBand="1"/>
      </w:tblPr>
      <w:tblGrid>
        <w:gridCol w:w="635"/>
        <w:gridCol w:w="1828"/>
        <w:gridCol w:w="1529"/>
        <w:gridCol w:w="1232"/>
        <w:gridCol w:w="1331"/>
        <w:gridCol w:w="1331"/>
        <w:gridCol w:w="636"/>
      </w:tblGrid>
      <w:tr w:rsidR="009E47C4" w:rsidRPr="00C47C59" w14:paraId="70D2DB49" w14:textId="77777777" w:rsidTr="00722665">
        <w:tc>
          <w:tcPr>
            <w:tcW w:w="372" w:type="pct"/>
          </w:tcPr>
          <w:p w14:paraId="3E8A1965" w14:textId="77777777" w:rsidR="009E47C4" w:rsidRPr="00C47C59" w:rsidRDefault="009E47C4" w:rsidP="00722665">
            <w:pPr>
              <w:jc w:val="center"/>
              <w:rPr>
                <w:sz w:val="18"/>
                <w:szCs w:val="18"/>
              </w:rPr>
            </w:pPr>
            <w:r w:rsidRPr="00C47C59">
              <w:rPr>
                <w:rFonts w:hint="eastAsia"/>
                <w:sz w:val="18"/>
                <w:szCs w:val="18"/>
              </w:rPr>
              <w:t>序号</w:t>
            </w:r>
          </w:p>
        </w:tc>
        <w:tc>
          <w:tcPr>
            <w:tcW w:w="1072" w:type="pct"/>
          </w:tcPr>
          <w:p w14:paraId="52FD0B29" w14:textId="77777777" w:rsidR="009E47C4" w:rsidRPr="00C47C59" w:rsidRDefault="009E47C4" w:rsidP="00722665">
            <w:pPr>
              <w:jc w:val="center"/>
              <w:rPr>
                <w:sz w:val="18"/>
                <w:szCs w:val="18"/>
              </w:rPr>
            </w:pPr>
            <w:r w:rsidRPr="00C47C59">
              <w:rPr>
                <w:rFonts w:hint="eastAsia"/>
                <w:sz w:val="18"/>
                <w:szCs w:val="18"/>
              </w:rPr>
              <w:t>标准号或仪器型号</w:t>
            </w:r>
          </w:p>
        </w:tc>
        <w:tc>
          <w:tcPr>
            <w:tcW w:w="897" w:type="pct"/>
          </w:tcPr>
          <w:p w14:paraId="50A20B12" w14:textId="77777777" w:rsidR="009E47C4" w:rsidRPr="00C47C59" w:rsidRDefault="009E47C4" w:rsidP="00722665">
            <w:pPr>
              <w:jc w:val="center"/>
              <w:rPr>
                <w:sz w:val="18"/>
                <w:szCs w:val="18"/>
              </w:rPr>
            </w:pPr>
            <w:r w:rsidRPr="00C47C59">
              <w:rPr>
                <w:rFonts w:hint="eastAsia"/>
                <w:sz w:val="18"/>
                <w:szCs w:val="18"/>
              </w:rPr>
              <w:t>圆锥角</w:t>
            </w:r>
            <w:r>
              <w:rPr>
                <w:rFonts w:hint="eastAsia"/>
                <w:sz w:val="18"/>
                <w:szCs w:val="18"/>
              </w:rPr>
              <w:t>/（°）</w:t>
            </w:r>
          </w:p>
        </w:tc>
        <w:tc>
          <w:tcPr>
            <w:tcW w:w="723" w:type="pct"/>
          </w:tcPr>
          <w:p w14:paraId="738F8FF2" w14:textId="77777777" w:rsidR="009E47C4" w:rsidRPr="00C47C59" w:rsidRDefault="009E47C4" w:rsidP="00722665">
            <w:pPr>
              <w:jc w:val="center"/>
              <w:rPr>
                <w:sz w:val="18"/>
                <w:szCs w:val="18"/>
              </w:rPr>
            </w:pPr>
            <w:r w:rsidRPr="00C47C59">
              <w:rPr>
                <w:rFonts w:hint="eastAsia"/>
                <w:sz w:val="18"/>
                <w:szCs w:val="18"/>
              </w:rPr>
              <w:t>底面积</w:t>
            </w:r>
            <w:r>
              <w:rPr>
                <w:rFonts w:hint="eastAsia"/>
                <w:sz w:val="18"/>
                <w:szCs w:val="18"/>
              </w:rPr>
              <w:t>/</w:t>
            </w:r>
            <w:r>
              <w:rPr>
                <w:sz w:val="18"/>
                <w:szCs w:val="18"/>
              </w:rPr>
              <w:t>mm</w:t>
            </w:r>
            <w:r w:rsidRPr="00C47C59">
              <w:rPr>
                <w:sz w:val="18"/>
                <w:szCs w:val="18"/>
                <w:vertAlign w:val="superscript"/>
              </w:rPr>
              <w:t>2</w:t>
            </w:r>
          </w:p>
        </w:tc>
        <w:tc>
          <w:tcPr>
            <w:tcW w:w="781" w:type="pct"/>
          </w:tcPr>
          <w:p w14:paraId="65923205" w14:textId="77777777" w:rsidR="009E47C4" w:rsidRPr="00C47C59" w:rsidRDefault="009E47C4" w:rsidP="00722665">
            <w:pPr>
              <w:jc w:val="center"/>
              <w:rPr>
                <w:sz w:val="18"/>
                <w:szCs w:val="18"/>
              </w:rPr>
            </w:pPr>
            <w:r>
              <w:rPr>
                <w:rFonts w:hint="eastAsia"/>
                <w:sz w:val="18"/>
                <w:szCs w:val="18"/>
              </w:rPr>
              <w:t>底面直径/</w:t>
            </w:r>
            <w:r>
              <w:rPr>
                <w:sz w:val="18"/>
                <w:szCs w:val="18"/>
              </w:rPr>
              <w:t>mm</w:t>
            </w:r>
          </w:p>
        </w:tc>
        <w:tc>
          <w:tcPr>
            <w:tcW w:w="781" w:type="pct"/>
          </w:tcPr>
          <w:p w14:paraId="3495D471" w14:textId="77777777" w:rsidR="009E47C4" w:rsidRPr="00C47C59" w:rsidRDefault="009E47C4" w:rsidP="00722665">
            <w:pPr>
              <w:jc w:val="center"/>
              <w:rPr>
                <w:sz w:val="18"/>
                <w:szCs w:val="18"/>
              </w:rPr>
            </w:pPr>
            <w:r>
              <w:rPr>
                <w:rFonts w:hint="eastAsia"/>
                <w:sz w:val="18"/>
                <w:szCs w:val="18"/>
              </w:rPr>
              <w:t>圆锥高度/</w:t>
            </w:r>
            <w:r>
              <w:rPr>
                <w:sz w:val="18"/>
                <w:szCs w:val="18"/>
              </w:rPr>
              <w:t>mm</w:t>
            </w:r>
          </w:p>
        </w:tc>
        <w:tc>
          <w:tcPr>
            <w:tcW w:w="373" w:type="pct"/>
          </w:tcPr>
          <w:p w14:paraId="7303B8BB" w14:textId="77777777" w:rsidR="009E47C4" w:rsidRPr="00C47C59" w:rsidRDefault="009E47C4" w:rsidP="00722665">
            <w:pPr>
              <w:jc w:val="center"/>
              <w:rPr>
                <w:sz w:val="18"/>
                <w:szCs w:val="18"/>
              </w:rPr>
            </w:pPr>
            <w:r>
              <w:rPr>
                <w:rFonts w:hint="eastAsia"/>
                <w:sz w:val="18"/>
                <w:szCs w:val="18"/>
              </w:rPr>
              <w:t>备注</w:t>
            </w:r>
          </w:p>
        </w:tc>
      </w:tr>
      <w:tr w:rsidR="009E47C4" w:rsidRPr="00C47C59" w14:paraId="70E7A165" w14:textId="77777777" w:rsidTr="00722665">
        <w:tc>
          <w:tcPr>
            <w:tcW w:w="372" w:type="pct"/>
          </w:tcPr>
          <w:p w14:paraId="64337B60"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2610F575" w14:textId="77777777" w:rsidR="009E47C4" w:rsidRPr="00C47C59" w:rsidRDefault="009E47C4" w:rsidP="00722665">
            <w:pPr>
              <w:rPr>
                <w:sz w:val="18"/>
                <w:szCs w:val="18"/>
              </w:rPr>
            </w:pPr>
            <w:r w:rsidRPr="006D653E">
              <w:rPr>
                <w:sz w:val="18"/>
                <w:szCs w:val="18"/>
              </w:rPr>
              <w:t>SC 900</w:t>
            </w:r>
            <w:r>
              <w:rPr>
                <w:rFonts w:hint="eastAsia"/>
                <w:sz w:val="18"/>
                <w:szCs w:val="18"/>
              </w:rPr>
              <w:t>、</w:t>
            </w:r>
            <w:r w:rsidRPr="009E47C4">
              <w:rPr>
                <w:sz w:val="18"/>
                <w:szCs w:val="18"/>
              </w:rPr>
              <w:t>CP40II</w:t>
            </w:r>
          </w:p>
        </w:tc>
        <w:tc>
          <w:tcPr>
            <w:tcW w:w="897" w:type="pct"/>
          </w:tcPr>
          <w:p w14:paraId="73A54C56" w14:textId="77777777" w:rsidR="009E47C4" w:rsidRDefault="009E47C4" w:rsidP="00722665">
            <w:pPr>
              <w:jc w:val="right"/>
              <w:rPr>
                <w:sz w:val="18"/>
                <w:szCs w:val="18"/>
              </w:rPr>
            </w:pPr>
            <w:r>
              <w:rPr>
                <w:rFonts w:hint="eastAsia"/>
                <w:sz w:val="18"/>
                <w:szCs w:val="18"/>
              </w:rPr>
              <w:t>3</w:t>
            </w:r>
            <w:r>
              <w:rPr>
                <w:sz w:val="18"/>
                <w:szCs w:val="18"/>
              </w:rPr>
              <w:t>0</w:t>
            </w:r>
          </w:p>
        </w:tc>
        <w:tc>
          <w:tcPr>
            <w:tcW w:w="723" w:type="pct"/>
          </w:tcPr>
          <w:p w14:paraId="276E8058" w14:textId="77777777" w:rsidR="009E47C4" w:rsidRDefault="009E47C4" w:rsidP="00722665">
            <w:pPr>
              <w:jc w:val="right"/>
              <w:rPr>
                <w:sz w:val="18"/>
                <w:szCs w:val="18"/>
              </w:rPr>
            </w:pPr>
            <w:r>
              <w:rPr>
                <w:rFonts w:hint="eastAsia"/>
                <w:sz w:val="18"/>
                <w:szCs w:val="18"/>
              </w:rPr>
              <w:t>1</w:t>
            </w:r>
            <w:r>
              <w:rPr>
                <w:sz w:val="18"/>
                <w:szCs w:val="18"/>
              </w:rPr>
              <w:t>26.68</w:t>
            </w:r>
          </w:p>
        </w:tc>
        <w:tc>
          <w:tcPr>
            <w:tcW w:w="781" w:type="pct"/>
          </w:tcPr>
          <w:p w14:paraId="553E889C" w14:textId="77777777" w:rsidR="009E47C4" w:rsidRDefault="009E47C4" w:rsidP="00722665">
            <w:pPr>
              <w:jc w:val="right"/>
              <w:rPr>
                <w:sz w:val="18"/>
                <w:szCs w:val="18"/>
              </w:rPr>
            </w:pPr>
            <w:r>
              <w:rPr>
                <w:rFonts w:hint="eastAsia"/>
                <w:sz w:val="18"/>
                <w:szCs w:val="18"/>
              </w:rPr>
              <w:t>1</w:t>
            </w:r>
            <w:r>
              <w:rPr>
                <w:sz w:val="18"/>
                <w:szCs w:val="18"/>
              </w:rPr>
              <w:t>2.70</w:t>
            </w:r>
          </w:p>
        </w:tc>
        <w:tc>
          <w:tcPr>
            <w:tcW w:w="781" w:type="pct"/>
            <w:vAlign w:val="center"/>
          </w:tcPr>
          <w:p w14:paraId="5B0B9DF0" w14:textId="77777777" w:rsidR="009E47C4" w:rsidRDefault="009E47C4" w:rsidP="00722665">
            <w:pPr>
              <w:jc w:val="right"/>
              <w:rPr>
                <w:sz w:val="18"/>
                <w:szCs w:val="18"/>
              </w:rPr>
            </w:pPr>
            <w:r>
              <w:rPr>
                <w:rFonts w:hint="eastAsia"/>
                <w:color w:val="000000"/>
                <w:sz w:val="18"/>
                <w:szCs w:val="18"/>
              </w:rPr>
              <w:t>23.7</w:t>
            </w:r>
          </w:p>
        </w:tc>
        <w:tc>
          <w:tcPr>
            <w:tcW w:w="373" w:type="pct"/>
          </w:tcPr>
          <w:p w14:paraId="67B6F526" w14:textId="77777777" w:rsidR="009E47C4" w:rsidRDefault="009E47C4" w:rsidP="00722665">
            <w:pPr>
              <w:rPr>
                <w:sz w:val="18"/>
                <w:szCs w:val="18"/>
              </w:rPr>
            </w:pPr>
            <w:r>
              <w:rPr>
                <w:rFonts w:hint="eastAsia"/>
                <w:sz w:val="18"/>
                <w:szCs w:val="18"/>
              </w:rPr>
              <w:t>硬土</w:t>
            </w:r>
          </w:p>
        </w:tc>
      </w:tr>
      <w:tr w:rsidR="009E47C4" w:rsidRPr="00C47C59" w14:paraId="6AB2F7B1" w14:textId="77777777" w:rsidTr="00722665">
        <w:tc>
          <w:tcPr>
            <w:tcW w:w="372" w:type="pct"/>
          </w:tcPr>
          <w:p w14:paraId="0127A3CB"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68C35F36" w14:textId="77777777" w:rsidR="009E47C4" w:rsidRPr="00C47C59" w:rsidRDefault="009E47C4" w:rsidP="00722665">
            <w:pPr>
              <w:rPr>
                <w:sz w:val="18"/>
                <w:szCs w:val="18"/>
              </w:rPr>
            </w:pPr>
            <w:r w:rsidRPr="00C47C59">
              <w:rPr>
                <w:sz w:val="18"/>
                <w:szCs w:val="18"/>
              </w:rPr>
              <w:t>ASAE 313.3</w:t>
            </w:r>
            <w:r>
              <w:rPr>
                <w:rFonts w:hint="eastAsia"/>
                <w:sz w:val="18"/>
                <w:szCs w:val="18"/>
              </w:rPr>
              <w:t>、</w:t>
            </w:r>
            <w:r w:rsidRPr="009E47C4">
              <w:rPr>
                <w:sz w:val="18"/>
                <w:szCs w:val="18"/>
              </w:rPr>
              <w:t>CP40II</w:t>
            </w:r>
          </w:p>
        </w:tc>
        <w:tc>
          <w:tcPr>
            <w:tcW w:w="897" w:type="pct"/>
          </w:tcPr>
          <w:p w14:paraId="2A288ADD" w14:textId="77777777" w:rsidR="009E47C4" w:rsidRPr="00C47C59" w:rsidRDefault="009E47C4" w:rsidP="00722665">
            <w:pPr>
              <w:jc w:val="right"/>
              <w:rPr>
                <w:sz w:val="18"/>
                <w:szCs w:val="18"/>
              </w:rPr>
            </w:pPr>
            <w:r>
              <w:rPr>
                <w:rFonts w:hint="eastAsia"/>
                <w:sz w:val="18"/>
                <w:szCs w:val="18"/>
              </w:rPr>
              <w:t>3</w:t>
            </w:r>
            <w:r>
              <w:rPr>
                <w:sz w:val="18"/>
                <w:szCs w:val="18"/>
              </w:rPr>
              <w:t>0</w:t>
            </w:r>
          </w:p>
        </w:tc>
        <w:tc>
          <w:tcPr>
            <w:tcW w:w="723" w:type="pct"/>
          </w:tcPr>
          <w:p w14:paraId="706402F8" w14:textId="77777777" w:rsidR="009E47C4" w:rsidRPr="00C47C59" w:rsidRDefault="009E47C4" w:rsidP="00722665">
            <w:pPr>
              <w:jc w:val="right"/>
              <w:rPr>
                <w:sz w:val="18"/>
                <w:szCs w:val="18"/>
              </w:rPr>
            </w:pPr>
            <w:r>
              <w:rPr>
                <w:rFonts w:hint="eastAsia"/>
                <w:sz w:val="18"/>
                <w:szCs w:val="18"/>
              </w:rPr>
              <w:t>1</w:t>
            </w:r>
            <w:r>
              <w:rPr>
                <w:sz w:val="18"/>
                <w:szCs w:val="18"/>
              </w:rPr>
              <w:t>29.28</w:t>
            </w:r>
          </w:p>
        </w:tc>
        <w:tc>
          <w:tcPr>
            <w:tcW w:w="781" w:type="pct"/>
          </w:tcPr>
          <w:p w14:paraId="47D2D742" w14:textId="77777777" w:rsidR="009E47C4" w:rsidRPr="00C47C59" w:rsidRDefault="009E47C4" w:rsidP="00722665">
            <w:pPr>
              <w:jc w:val="right"/>
              <w:rPr>
                <w:sz w:val="18"/>
                <w:szCs w:val="18"/>
              </w:rPr>
            </w:pPr>
            <w:r>
              <w:rPr>
                <w:rFonts w:hint="eastAsia"/>
                <w:sz w:val="18"/>
                <w:szCs w:val="18"/>
              </w:rPr>
              <w:t>1</w:t>
            </w:r>
            <w:r>
              <w:rPr>
                <w:sz w:val="18"/>
                <w:szCs w:val="18"/>
              </w:rPr>
              <w:t>2.83</w:t>
            </w:r>
          </w:p>
        </w:tc>
        <w:tc>
          <w:tcPr>
            <w:tcW w:w="781" w:type="pct"/>
            <w:vAlign w:val="center"/>
          </w:tcPr>
          <w:p w14:paraId="7E98DFDB" w14:textId="77777777" w:rsidR="009E47C4" w:rsidRPr="00C47C59" w:rsidRDefault="009E47C4" w:rsidP="00722665">
            <w:pPr>
              <w:jc w:val="right"/>
              <w:rPr>
                <w:sz w:val="18"/>
                <w:szCs w:val="18"/>
              </w:rPr>
            </w:pPr>
            <w:r>
              <w:rPr>
                <w:rFonts w:hint="eastAsia"/>
                <w:color w:val="000000"/>
                <w:sz w:val="18"/>
                <w:szCs w:val="18"/>
              </w:rPr>
              <w:t>23.9</w:t>
            </w:r>
          </w:p>
        </w:tc>
        <w:tc>
          <w:tcPr>
            <w:tcW w:w="373" w:type="pct"/>
          </w:tcPr>
          <w:p w14:paraId="49D0CF71" w14:textId="77777777" w:rsidR="009E47C4" w:rsidRPr="00C47C59" w:rsidRDefault="009E47C4" w:rsidP="00722665">
            <w:pPr>
              <w:rPr>
                <w:sz w:val="18"/>
                <w:szCs w:val="18"/>
              </w:rPr>
            </w:pPr>
            <w:r>
              <w:rPr>
                <w:rFonts w:hint="eastAsia"/>
                <w:sz w:val="18"/>
                <w:szCs w:val="18"/>
              </w:rPr>
              <w:t>硬土</w:t>
            </w:r>
          </w:p>
        </w:tc>
      </w:tr>
      <w:tr w:rsidR="009E47C4" w:rsidRPr="00C47C59" w14:paraId="2F7B8D0B" w14:textId="77777777" w:rsidTr="00722665">
        <w:tc>
          <w:tcPr>
            <w:tcW w:w="372" w:type="pct"/>
          </w:tcPr>
          <w:p w14:paraId="6ED532BD"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04087D04" w14:textId="77777777" w:rsidR="009E47C4" w:rsidRPr="0062431D" w:rsidRDefault="009E47C4" w:rsidP="00722665">
            <w:pPr>
              <w:rPr>
                <w:sz w:val="18"/>
                <w:szCs w:val="18"/>
              </w:rPr>
            </w:pPr>
            <w:r>
              <w:rPr>
                <w:rFonts w:hint="eastAsia"/>
                <w:sz w:val="18"/>
                <w:szCs w:val="18"/>
              </w:rPr>
              <w:t>DIK</w:t>
            </w:r>
            <w:r>
              <w:rPr>
                <w:sz w:val="18"/>
                <w:szCs w:val="18"/>
              </w:rPr>
              <w:t>-5532</w:t>
            </w:r>
          </w:p>
        </w:tc>
        <w:tc>
          <w:tcPr>
            <w:tcW w:w="897" w:type="pct"/>
          </w:tcPr>
          <w:p w14:paraId="54B0BBC6" w14:textId="77777777" w:rsidR="009E47C4" w:rsidRDefault="009E47C4" w:rsidP="00722665">
            <w:pPr>
              <w:jc w:val="right"/>
              <w:rPr>
                <w:sz w:val="18"/>
                <w:szCs w:val="18"/>
              </w:rPr>
            </w:pPr>
            <w:r w:rsidRPr="00435251">
              <w:rPr>
                <w:sz w:val="18"/>
                <w:szCs w:val="18"/>
              </w:rPr>
              <w:t>30</w:t>
            </w:r>
          </w:p>
        </w:tc>
        <w:tc>
          <w:tcPr>
            <w:tcW w:w="723" w:type="pct"/>
          </w:tcPr>
          <w:p w14:paraId="1B20730C" w14:textId="77777777" w:rsidR="009E47C4" w:rsidRDefault="009E47C4" w:rsidP="00722665">
            <w:pPr>
              <w:jc w:val="right"/>
              <w:rPr>
                <w:sz w:val="18"/>
                <w:szCs w:val="18"/>
              </w:rPr>
            </w:pPr>
            <w:r>
              <w:rPr>
                <w:rFonts w:hint="eastAsia"/>
                <w:sz w:val="18"/>
                <w:szCs w:val="18"/>
              </w:rPr>
              <w:t>2</w:t>
            </w:r>
            <w:r>
              <w:rPr>
                <w:sz w:val="18"/>
                <w:szCs w:val="18"/>
              </w:rPr>
              <w:t>00.00</w:t>
            </w:r>
          </w:p>
        </w:tc>
        <w:tc>
          <w:tcPr>
            <w:tcW w:w="781" w:type="pct"/>
          </w:tcPr>
          <w:p w14:paraId="46EA5E36" w14:textId="77777777" w:rsidR="009E47C4" w:rsidRDefault="009E47C4" w:rsidP="00722665">
            <w:pPr>
              <w:jc w:val="right"/>
              <w:rPr>
                <w:sz w:val="18"/>
                <w:szCs w:val="18"/>
              </w:rPr>
            </w:pPr>
            <w:r w:rsidRPr="00FF0086">
              <w:rPr>
                <w:sz w:val="18"/>
                <w:szCs w:val="18"/>
              </w:rPr>
              <w:t>15.96</w:t>
            </w:r>
          </w:p>
        </w:tc>
        <w:tc>
          <w:tcPr>
            <w:tcW w:w="781" w:type="pct"/>
            <w:vAlign w:val="center"/>
          </w:tcPr>
          <w:p w14:paraId="282D2911" w14:textId="77777777" w:rsidR="009E47C4" w:rsidRDefault="009E47C4" w:rsidP="00722665">
            <w:pPr>
              <w:jc w:val="right"/>
              <w:rPr>
                <w:sz w:val="18"/>
                <w:szCs w:val="18"/>
              </w:rPr>
            </w:pPr>
            <w:r>
              <w:rPr>
                <w:rFonts w:hint="eastAsia"/>
                <w:color w:val="000000"/>
                <w:sz w:val="18"/>
                <w:szCs w:val="18"/>
              </w:rPr>
              <w:t>29.8</w:t>
            </w:r>
          </w:p>
        </w:tc>
        <w:tc>
          <w:tcPr>
            <w:tcW w:w="373" w:type="pct"/>
          </w:tcPr>
          <w:p w14:paraId="678D36C8" w14:textId="77777777" w:rsidR="009E47C4" w:rsidRDefault="009E47C4" w:rsidP="00722665">
            <w:pPr>
              <w:rPr>
                <w:sz w:val="18"/>
                <w:szCs w:val="18"/>
              </w:rPr>
            </w:pPr>
          </w:p>
        </w:tc>
      </w:tr>
      <w:tr w:rsidR="009E47C4" w:rsidRPr="00C47C59" w14:paraId="31066D16" w14:textId="77777777" w:rsidTr="00722665">
        <w:tc>
          <w:tcPr>
            <w:tcW w:w="372" w:type="pct"/>
          </w:tcPr>
          <w:p w14:paraId="31DEB889"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485A3BEE" w14:textId="77777777" w:rsidR="009E47C4" w:rsidRPr="00C47C59" w:rsidRDefault="009E47C4" w:rsidP="00722665">
            <w:pPr>
              <w:rPr>
                <w:sz w:val="18"/>
                <w:szCs w:val="18"/>
              </w:rPr>
            </w:pPr>
            <w:r w:rsidRPr="006D653E">
              <w:rPr>
                <w:sz w:val="18"/>
                <w:szCs w:val="18"/>
              </w:rPr>
              <w:t>SC 900</w:t>
            </w:r>
          </w:p>
        </w:tc>
        <w:tc>
          <w:tcPr>
            <w:tcW w:w="897" w:type="pct"/>
          </w:tcPr>
          <w:p w14:paraId="48BA0356" w14:textId="77777777" w:rsidR="009E47C4" w:rsidRDefault="009E47C4" w:rsidP="00722665">
            <w:pPr>
              <w:jc w:val="right"/>
              <w:rPr>
                <w:sz w:val="18"/>
                <w:szCs w:val="18"/>
              </w:rPr>
            </w:pPr>
            <w:r>
              <w:rPr>
                <w:rFonts w:hint="eastAsia"/>
                <w:sz w:val="18"/>
                <w:szCs w:val="18"/>
              </w:rPr>
              <w:t>3</w:t>
            </w:r>
            <w:r>
              <w:rPr>
                <w:sz w:val="18"/>
                <w:szCs w:val="18"/>
              </w:rPr>
              <w:t>0</w:t>
            </w:r>
          </w:p>
        </w:tc>
        <w:tc>
          <w:tcPr>
            <w:tcW w:w="723" w:type="pct"/>
          </w:tcPr>
          <w:p w14:paraId="231EC6F9" w14:textId="77777777" w:rsidR="009E47C4" w:rsidRDefault="009E47C4" w:rsidP="00722665">
            <w:pPr>
              <w:jc w:val="right"/>
              <w:rPr>
                <w:sz w:val="18"/>
                <w:szCs w:val="18"/>
              </w:rPr>
            </w:pPr>
            <w:r>
              <w:rPr>
                <w:rFonts w:hint="eastAsia"/>
                <w:sz w:val="18"/>
                <w:szCs w:val="18"/>
              </w:rPr>
              <w:t>2</w:t>
            </w:r>
            <w:r>
              <w:rPr>
                <w:sz w:val="18"/>
                <w:szCs w:val="18"/>
              </w:rPr>
              <w:t>85.02</w:t>
            </w:r>
          </w:p>
        </w:tc>
        <w:tc>
          <w:tcPr>
            <w:tcW w:w="781" w:type="pct"/>
          </w:tcPr>
          <w:p w14:paraId="6EC3F1EE" w14:textId="77777777" w:rsidR="009E47C4" w:rsidRDefault="009E47C4" w:rsidP="00722665">
            <w:pPr>
              <w:jc w:val="right"/>
              <w:rPr>
                <w:sz w:val="18"/>
                <w:szCs w:val="18"/>
              </w:rPr>
            </w:pPr>
            <w:r>
              <w:rPr>
                <w:rFonts w:hint="eastAsia"/>
                <w:sz w:val="18"/>
                <w:szCs w:val="18"/>
              </w:rPr>
              <w:t>1</w:t>
            </w:r>
            <w:r>
              <w:rPr>
                <w:sz w:val="18"/>
                <w:szCs w:val="18"/>
              </w:rPr>
              <w:t>9.05</w:t>
            </w:r>
          </w:p>
        </w:tc>
        <w:tc>
          <w:tcPr>
            <w:tcW w:w="781" w:type="pct"/>
            <w:vAlign w:val="center"/>
          </w:tcPr>
          <w:p w14:paraId="6E252F7E" w14:textId="77777777" w:rsidR="009E47C4" w:rsidRDefault="009E47C4" w:rsidP="00722665">
            <w:pPr>
              <w:jc w:val="right"/>
              <w:rPr>
                <w:sz w:val="18"/>
                <w:szCs w:val="18"/>
              </w:rPr>
            </w:pPr>
            <w:r>
              <w:rPr>
                <w:rFonts w:hint="eastAsia"/>
                <w:color w:val="000000"/>
                <w:sz w:val="18"/>
                <w:szCs w:val="18"/>
              </w:rPr>
              <w:t>35.5</w:t>
            </w:r>
          </w:p>
        </w:tc>
        <w:tc>
          <w:tcPr>
            <w:tcW w:w="373" w:type="pct"/>
          </w:tcPr>
          <w:p w14:paraId="239BF4AE" w14:textId="77777777" w:rsidR="009E47C4" w:rsidRDefault="009E47C4" w:rsidP="00722665">
            <w:pPr>
              <w:rPr>
                <w:sz w:val="18"/>
                <w:szCs w:val="18"/>
              </w:rPr>
            </w:pPr>
            <w:r>
              <w:rPr>
                <w:rFonts w:hint="eastAsia"/>
                <w:sz w:val="18"/>
                <w:szCs w:val="18"/>
              </w:rPr>
              <w:t>软土</w:t>
            </w:r>
          </w:p>
        </w:tc>
      </w:tr>
      <w:tr w:rsidR="009E47C4" w:rsidRPr="00C47C59" w14:paraId="1FE516A5" w14:textId="77777777" w:rsidTr="00722665">
        <w:tc>
          <w:tcPr>
            <w:tcW w:w="372" w:type="pct"/>
          </w:tcPr>
          <w:p w14:paraId="5E93AF78"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62BF7D90" w14:textId="77777777" w:rsidR="009E47C4" w:rsidRPr="00C47C59" w:rsidRDefault="009E47C4" w:rsidP="00722665">
            <w:pPr>
              <w:rPr>
                <w:sz w:val="18"/>
                <w:szCs w:val="18"/>
              </w:rPr>
            </w:pPr>
            <w:r w:rsidRPr="00C47C59">
              <w:rPr>
                <w:sz w:val="18"/>
                <w:szCs w:val="18"/>
              </w:rPr>
              <w:t>JJF 1011</w:t>
            </w:r>
          </w:p>
        </w:tc>
        <w:tc>
          <w:tcPr>
            <w:tcW w:w="897" w:type="pct"/>
          </w:tcPr>
          <w:p w14:paraId="6740D786" w14:textId="77777777" w:rsidR="009E47C4" w:rsidRPr="00C47C59" w:rsidRDefault="009E47C4" w:rsidP="00722665">
            <w:pPr>
              <w:jc w:val="right"/>
              <w:rPr>
                <w:sz w:val="18"/>
                <w:szCs w:val="18"/>
              </w:rPr>
            </w:pPr>
            <w:r>
              <w:rPr>
                <w:rFonts w:hint="eastAsia"/>
                <w:sz w:val="18"/>
                <w:szCs w:val="18"/>
              </w:rPr>
              <w:t>3</w:t>
            </w:r>
            <w:r>
              <w:rPr>
                <w:sz w:val="18"/>
                <w:szCs w:val="18"/>
              </w:rPr>
              <w:t>0</w:t>
            </w:r>
          </w:p>
        </w:tc>
        <w:tc>
          <w:tcPr>
            <w:tcW w:w="723" w:type="pct"/>
          </w:tcPr>
          <w:p w14:paraId="3D992432" w14:textId="77777777" w:rsidR="009E47C4" w:rsidRPr="00C47C59" w:rsidRDefault="009E47C4" w:rsidP="00722665">
            <w:pPr>
              <w:jc w:val="right"/>
              <w:rPr>
                <w:sz w:val="18"/>
                <w:szCs w:val="18"/>
              </w:rPr>
            </w:pPr>
            <w:r>
              <w:rPr>
                <w:rFonts w:hint="eastAsia"/>
                <w:sz w:val="18"/>
                <w:szCs w:val="18"/>
              </w:rPr>
              <w:t>3</w:t>
            </w:r>
            <w:r>
              <w:rPr>
                <w:sz w:val="18"/>
                <w:szCs w:val="18"/>
              </w:rPr>
              <w:t>00.00</w:t>
            </w:r>
          </w:p>
        </w:tc>
        <w:tc>
          <w:tcPr>
            <w:tcW w:w="781" w:type="pct"/>
          </w:tcPr>
          <w:p w14:paraId="370E56F3" w14:textId="77777777" w:rsidR="009E47C4" w:rsidRPr="00C47C59" w:rsidRDefault="009E47C4" w:rsidP="00722665">
            <w:pPr>
              <w:jc w:val="right"/>
              <w:rPr>
                <w:sz w:val="18"/>
                <w:szCs w:val="18"/>
              </w:rPr>
            </w:pPr>
            <w:r>
              <w:rPr>
                <w:rFonts w:hint="eastAsia"/>
                <w:sz w:val="18"/>
                <w:szCs w:val="18"/>
              </w:rPr>
              <w:t>1</w:t>
            </w:r>
            <w:r>
              <w:rPr>
                <w:sz w:val="18"/>
                <w:szCs w:val="18"/>
              </w:rPr>
              <w:t>9.54</w:t>
            </w:r>
          </w:p>
        </w:tc>
        <w:tc>
          <w:tcPr>
            <w:tcW w:w="781" w:type="pct"/>
            <w:vAlign w:val="center"/>
          </w:tcPr>
          <w:p w14:paraId="3C2A7860" w14:textId="77777777" w:rsidR="009E47C4" w:rsidRPr="00C47C59" w:rsidRDefault="009E47C4" w:rsidP="00722665">
            <w:pPr>
              <w:jc w:val="right"/>
              <w:rPr>
                <w:sz w:val="18"/>
                <w:szCs w:val="18"/>
              </w:rPr>
            </w:pPr>
            <w:r>
              <w:rPr>
                <w:rFonts w:hint="eastAsia"/>
                <w:color w:val="000000"/>
                <w:sz w:val="18"/>
                <w:szCs w:val="18"/>
              </w:rPr>
              <w:t>36.5</w:t>
            </w:r>
          </w:p>
        </w:tc>
        <w:tc>
          <w:tcPr>
            <w:tcW w:w="373" w:type="pct"/>
          </w:tcPr>
          <w:p w14:paraId="4458DB62" w14:textId="77777777" w:rsidR="009E47C4" w:rsidRPr="00C47C59" w:rsidRDefault="009E47C4" w:rsidP="00722665">
            <w:pPr>
              <w:rPr>
                <w:sz w:val="18"/>
                <w:szCs w:val="18"/>
              </w:rPr>
            </w:pPr>
            <w:r>
              <w:rPr>
                <w:rFonts w:hint="eastAsia"/>
                <w:sz w:val="18"/>
                <w:szCs w:val="18"/>
              </w:rPr>
              <w:t>软土</w:t>
            </w:r>
          </w:p>
        </w:tc>
      </w:tr>
      <w:tr w:rsidR="009E47C4" w:rsidRPr="00C47C59" w14:paraId="2F51F058" w14:textId="77777777" w:rsidTr="00722665">
        <w:tc>
          <w:tcPr>
            <w:tcW w:w="372" w:type="pct"/>
          </w:tcPr>
          <w:p w14:paraId="32A27BD4"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1E753D39" w14:textId="77777777" w:rsidR="009E47C4" w:rsidRPr="00C47C59" w:rsidRDefault="009E47C4" w:rsidP="00722665">
            <w:pPr>
              <w:rPr>
                <w:sz w:val="18"/>
                <w:szCs w:val="18"/>
              </w:rPr>
            </w:pPr>
            <w:r w:rsidRPr="00C47C59">
              <w:rPr>
                <w:sz w:val="18"/>
                <w:szCs w:val="18"/>
              </w:rPr>
              <w:t>ASAE 313.3</w:t>
            </w:r>
            <w:r>
              <w:rPr>
                <w:rFonts w:hint="eastAsia"/>
                <w:sz w:val="18"/>
                <w:szCs w:val="18"/>
              </w:rPr>
              <w:t>、</w:t>
            </w:r>
            <w:r w:rsidRPr="009E47C4">
              <w:rPr>
                <w:sz w:val="18"/>
                <w:szCs w:val="18"/>
              </w:rPr>
              <w:t>CP40II</w:t>
            </w:r>
          </w:p>
        </w:tc>
        <w:tc>
          <w:tcPr>
            <w:tcW w:w="897" w:type="pct"/>
          </w:tcPr>
          <w:p w14:paraId="12BA78F2" w14:textId="77777777" w:rsidR="009E47C4" w:rsidRPr="00C47C59" w:rsidRDefault="009E47C4" w:rsidP="00722665">
            <w:pPr>
              <w:jc w:val="right"/>
              <w:rPr>
                <w:sz w:val="18"/>
                <w:szCs w:val="18"/>
              </w:rPr>
            </w:pPr>
            <w:r>
              <w:rPr>
                <w:rFonts w:hint="eastAsia"/>
                <w:sz w:val="18"/>
                <w:szCs w:val="18"/>
              </w:rPr>
              <w:t>3</w:t>
            </w:r>
            <w:r>
              <w:rPr>
                <w:sz w:val="18"/>
                <w:szCs w:val="18"/>
              </w:rPr>
              <w:t>0</w:t>
            </w:r>
          </w:p>
        </w:tc>
        <w:tc>
          <w:tcPr>
            <w:tcW w:w="723" w:type="pct"/>
          </w:tcPr>
          <w:p w14:paraId="16BE8919" w14:textId="77777777" w:rsidR="009E47C4" w:rsidRPr="00C47C59" w:rsidRDefault="009E47C4" w:rsidP="00722665">
            <w:pPr>
              <w:jc w:val="right"/>
              <w:rPr>
                <w:sz w:val="18"/>
                <w:szCs w:val="18"/>
              </w:rPr>
            </w:pPr>
            <w:r>
              <w:rPr>
                <w:rFonts w:hint="eastAsia"/>
                <w:sz w:val="18"/>
                <w:szCs w:val="18"/>
              </w:rPr>
              <w:t>3</w:t>
            </w:r>
            <w:r>
              <w:rPr>
                <w:sz w:val="18"/>
                <w:szCs w:val="18"/>
              </w:rPr>
              <w:t>22.70</w:t>
            </w:r>
          </w:p>
        </w:tc>
        <w:tc>
          <w:tcPr>
            <w:tcW w:w="781" w:type="pct"/>
          </w:tcPr>
          <w:p w14:paraId="269E4BDD" w14:textId="77777777" w:rsidR="009E47C4" w:rsidRPr="00C47C59" w:rsidRDefault="009E47C4" w:rsidP="00722665">
            <w:pPr>
              <w:jc w:val="right"/>
              <w:rPr>
                <w:sz w:val="18"/>
                <w:szCs w:val="18"/>
              </w:rPr>
            </w:pPr>
            <w:r>
              <w:rPr>
                <w:rFonts w:hint="eastAsia"/>
                <w:sz w:val="18"/>
                <w:szCs w:val="18"/>
              </w:rPr>
              <w:t>2</w:t>
            </w:r>
            <w:r>
              <w:rPr>
                <w:sz w:val="18"/>
                <w:szCs w:val="18"/>
              </w:rPr>
              <w:t>0.27</w:t>
            </w:r>
          </w:p>
        </w:tc>
        <w:tc>
          <w:tcPr>
            <w:tcW w:w="781" w:type="pct"/>
            <w:vAlign w:val="center"/>
          </w:tcPr>
          <w:p w14:paraId="21D13793" w14:textId="77777777" w:rsidR="009E47C4" w:rsidRPr="00C47C59" w:rsidRDefault="009E47C4" w:rsidP="00722665">
            <w:pPr>
              <w:jc w:val="right"/>
              <w:rPr>
                <w:sz w:val="18"/>
                <w:szCs w:val="18"/>
              </w:rPr>
            </w:pPr>
            <w:r>
              <w:rPr>
                <w:rFonts w:hint="eastAsia"/>
                <w:color w:val="000000"/>
                <w:sz w:val="18"/>
                <w:szCs w:val="18"/>
              </w:rPr>
              <w:t>37.8</w:t>
            </w:r>
          </w:p>
        </w:tc>
        <w:tc>
          <w:tcPr>
            <w:tcW w:w="373" w:type="pct"/>
          </w:tcPr>
          <w:p w14:paraId="724DD785" w14:textId="77777777" w:rsidR="009E47C4" w:rsidRPr="00C47C59" w:rsidRDefault="009E47C4" w:rsidP="00722665">
            <w:pPr>
              <w:rPr>
                <w:sz w:val="18"/>
                <w:szCs w:val="18"/>
              </w:rPr>
            </w:pPr>
            <w:r>
              <w:rPr>
                <w:rFonts w:hint="eastAsia"/>
                <w:sz w:val="18"/>
                <w:szCs w:val="18"/>
              </w:rPr>
              <w:t>软土</w:t>
            </w:r>
          </w:p>
        </w:tc>
      </w:tr>
      <w:tr w:rsidR="009E47C4" w:rsidRPr="00C47C59" w14:paraId="231CF9A1" w14:textId="77777777" w:rsidTr="00722665">
        <w:tc>
          <w:tcPr>
            <w:tcW w:w="372" w:type="pct"/>
          </w:tcPr>
          <w:p w14:paraId="757E3084"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05181BE9" w14:textId="77777777" w:rsidR="009E47C4" w:rsidRPr="00C47C59" w:rsidRDefault="009E47C4" w:rsidP="00722665">
            <w:pPr>
              <w:rPr>
                <w:sz w:val="18"/>
                <w:szCs w:val="18"/>
              </w:rPr>
            </w:pPr>
            <w:r w:rsidRPr="00BB6F1E">
              <w:rPr>
                <w:sz w:val="18"/>
                <w:szCs w:val="18"/>
              </w:rPr>
              <w:t>TJSD-750</w:t>
            </w:r>
            <w:r>
              <w:rPr>
                <w:rFonts w:hint="eastAsia"/>
                <w:sz w:val="18"/>
                <w:szCs w:val="18"/>
              </w:rPr>
              <w:t>、TYD</w:t>
            </w:r>
            <w:r>
              <w:rPr>
                <w:sz w:val="18"/>
                <w:szCs w:val="18"/>
              </w:rPr>
              <w:t>-2</w:t>
            </w:r>
          </w:p>
        </w:tc>
        <w:tc>
          <w:tcPr>
            <w:tcW w:w="897" w:type="pct"/>
          </w:tcPr>
          <w:p w14:paraId="08F3791D" w14:textId="77777777" w:rsidR="009E47C4" w:rsidRPr="00C47C59" w:rsidRDefault="009E47C4" w:rsidP="00722665">
            <w:pPr>
              <w:jc w:val="right"/>
              <w:rPr>
                <w:sz w:val="18"/>
                <w:szCs w:val="18"/>
              </w:rPr>
            </w:pPr>
            <w:r>
              <w:rPr>
                <w:rFonts w:hint="eastAsia"/>
                <w:sz w:val="18"/>
                <w:szCs w:val="18"/>
              </w:rPr>
              <w:t>3</w:t>
            </w:r>
            <w:r>
              <w:rPr>
                <w:sz w:val="18"/>
                <w:szCs w:val="18"/>
              </w:rPr>
              <w:t>5</w:t>
            </w:r>
          </w:p>
        </w:tc>
        <w:tc>
          <w:tcPr>
            <w:tcW w:w="723" w:type="pct"/>
          </w:tcPr>
          <w:p w14:paraId="7F79FB3D" w14:textId="77777777" w:rsidR="009E47C4" w:rsidRPr="00C47C59" w:rsidRDefault="009E47C4" w:rsidP="00722665">
            <w:pPr>
              <w:jc w:val="right"/>
              <w:rPr>
                <w:sz w:val="18"/>
                <w:szCs w:val="18"/>
              </w:rPr>
            </w:pPr>
            <w:r>
              <w:rPr>
                <w:rFonts w:hint="eastAsia"/>
                <w:sz w:val="18"/>
                <w:szCs w:val="18"/>
              </w:rPr>
              <w:t>1</w:t>
            </w:r>
            <w:r>
              <w:rPr>
                <w:sz w:val="18"/>
                <w:szCs w:val="18"/>
              </w:rPr>
              <w:t>12.34</w:t>
            </w:r>
          </w:p>
        </w:tc>
        <w:tc>
          <w:tcPr>
            <w:tcW w:w="781" w:type="pct"/>
          </w:tcPr>
          <w:p w14:paraId="05A84BB9" w14:textId="77777777" w:rsidR="009E47C4" w:rsidRPr="00C47C59" w:rsidRDefault="009E47C4" w:rsidP="00722665">
            <w:pPr>
              <w:jc w:val="right"/>
              <w:rPr>
                <w:sz w:val="18"/>
                <w:szCs w:val="18"/>
              </w:rPr>
            </w:pPr>
            <w:r>
              <w:rPr>
                <w:rFonts w:hint="eastAsia"/>
                <w:sz w:val="18"/>
                <w:szCs w:val="18"/>
              </w:rPr>
              <w:t>1</w:t>
            </w:r>
            <w:r>
              <w:rPr>
                <w:sz w:val="18"/>
                <w:szCs w:val="18"/>
              </w:rPr>
              <w:t>1.96</w:t>
            </w:r>
          </w:p>
        </w:tc>
        <w:tc>
          <w:tcPr>
            <w:tcW w:w="781" w:type="pct"/>
            <w:vAlign w:val="center"/>
          </w:tcPr>
          <w:p w14:paraId="246DB5BA" w14:textId="77777777" w:rsidR="009E47C4" w:rsidRPr="00C47C59" w:rsidRDefault="009E47C4" w:rsidP="00722665">
            <w:pPr>
              <w:jc w:val="right"/>
              <w:rPr>
                <w:sz w:val="18"/>
                <w:szCs w:val="18"/>
              </w:rPr>
            </w:pPr>
            <w:r>
              <w:rPr>
                <w:rFonts w:hint="eastAsia"/>
                <w:color w:val="000000"/>
                <w:sz w:val="18"/>
                <w:szCs w:val="18"/>
              </w:rPr>
              <w:t>19.0</w:t>
            </w:r>
          </w:p>
        </w:tc>
        <w:tc>
          <w:tcPr>
            <w:tcW w:w="373" w:type="pct"/>
          </w:tcPr>
          <w:p w14:paraId="1FE158EB" w14:textId="77777777" w:rsidR="009E47C4" w:rsidRPr="00C47C59" w:rsidRDefault="009E47C4" w:rsidP="00722665">
            <w:pPr>
              <w:rPr>
                <w:sz w:val="18"/>
                <w:szCs w:val="18"/>
              </w:rPr>
            </w:pPr>
          </w:p>
        </w:tc>
      </w:tr>
      <w:tr w:rsidR="009E47C4" w:rsidRPr="00C47C59" w14:paraId="755E696F" w14:textId="77777777" w:rsidTr="00722665">
        <w:tc>
          <w:tcPr>
            <w:tcW w:w="372" w:type="pct"/>
          </w:tcPr>
          <w:p w14:paraId="29A14931"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2B819D04" w14:textId="77777777" w:rsidR="009E47C4" w:rsidRPr="00C47C59" w:rsidRDefault="009E47C4" w:rsidP="00722665">
            <w:pPr>
              <w:rPr>
                <w:sz w:val="18"/>
                <w:szCs w:val="18"/>
              </w:rPr>
            </w:pPr>
            <w:r w:rsidRPr="006F7CE7">
              <w:rPr>
                <w:sz w:val="18"/>
                <w:szCs w:val="18"/>
              </w:rPr>
              <w:t>EIJKELKAMP</w:t>
            </w:r>
            <w:r>
              <w:rPr>
                <w:sz w:val="18"/>
                <w:szCs w:val="18"/>
              </w:rPr>
              <w:t xml:space="preserve"> 06.01</w:t>
            </w:r>
          </w:p>
        </w:tc>
        <w:tc>
          <w:tcPr>
            <w:tcW w:w="897" w:type="pct"/>
          </w:tcPr>
          <w:p w14:paraId="26716F7B" w14:textId="77777777" w:rsidR="009E47C4" w:rsidRDefault="009E47C4" w:rsidP="00722665">
            <w:pPr>
              <w:jc w:val="right"/>
              <w:rPr>
                <w:sz w:val="18"/>
                <w:szCs w:val="18"/>
              </w:rPr>
            </w:pPr>
            <w:r>
              <w:rPr>
                <w:rFonts w:hint="eastAsia"/>
                <w:sz w:val="18"/>
                <w:szCs w:val="18"/>
              </w:rPr>
              <w:t>6</w:t>
            </w:r>
            <w:r>
              <w:rPr>
                <w:sz w:val="18"/>
                <w:szCs w:val="18"/>
              </w:rPr>
              <w:t>0</w:t>
            </w:r>
          </w:p>
        </w:tc>
        <w:tc>
          <w:tcPr>
            <w:tcW w:w="723" w:type="pct"/>
          </w:tcPr>
          <w:p w14:paraId="68CE9108" w14:textId="77777777" w:rsidR="009E47C4" w:rsidRDefault="009E47C4" w:rsidP="00722665">
            <w:pPr>
              <w:jc w:val="right"/>
              <w:rPr>
                <w:sz w:val="18"/>
                <w:szCs w:val="18"/>
              </w:rPr>
            </w:pPr>
            <w:r>
              <w:rPr>
                <w:rFonts w:hint="eastAsia"/>
                <w:sz w:val="18"/>
                <w:szCs w:val="18"/>
              </w:rPr>
              <w:t>1</w:t>
            </w:r>
            <w:r>
              <w:rPr>
                <w:sz w:val="18"/>
                <w:szCs w:val="18"/>
              </w:rPr>
              <w:t>00.00</w:t>
            </w:r>
          </w:p>
        </w:tc>
        <w:tc>
          <w:tcPr>
            <w:tcW w:w="781" w:type="pct"/>
          </w:tcPr>
          <w:p w14:paraId="579EC775" w14:textId="77777777" w:rsidR="009E47C4" w:rsidRDefault="009E47C4" w:rsidP="00722665">
            <w:pPr>
              <w:jc w:val="right"/>
              <w:rPr>
                <w:sz w:val="18"/>
                <w:szCs w:val="18"/>
              </w:rPr>
            </w:pPr>
            <w:r>
              <w:rPr>
                <w:rFonts w:hint="eastAsia"/>
                <w:sz w:val="18"/>
                <w:szCs w:val="18"/>
              </w:rPr>
              <w:t>1</w:t>
            </w:r>
            <w:r>
              <w:rPr>
                <w:sz w:val="18"/>
                <w:szCs w:val="18"/>
              </w:rPr>
              <w:t>1.28</w:t>
            </w:r>
          </w:p>
        </w:tc>
        <w:tc>
          <w:tcPr>
            <w:tcW w:w="781" w:type="pct"/>
            <w:vAlign w:val="center"/>
          </w:tcPr>
          <w:p w14:paraId="0156AE65" w14:textId="77777777" w:rsidR="009E47C4" w:rsidRDefault="009E47C4" w:rsidP="00722665">
            <w:pPr>
              <w:jc w:val="right"/>
              <w:rPr>
                <w:sz w:val="18"/>
                <w:szCs w:val="18"/>
              </w:rPr>
            </w:pPr>
            <w:r>
              <w:rPr>
                <w:rFonts w:hint="eastAsia"/>
                <w:color w:val="000000"/>
                <w:sz w:val="18"/>
                <w:szCs w:val="18"/>
              </w:rPr>
              <w:t>9.8</w:t>
            </w:r>
          </w:p>
        </w:tc>
        <w:tc>
          <w:tcPr>
            <w:tcW w:w="373" w:type="pct"/>
          </w:tcPr>
          <w:p w14:paraId="756D18D4" w14:textId="77777777" w:rsidR="009E47C4" w:rsidRDefault="009E47C4" w:rsidP="00722665">
            <w:pPr>
              <w:rPr>
                <w:sz w:val="18"/>
                <w:szCs w:val="18"/>
              </w:rPr>
            </w:pPr>
          </w:p>
        </w:tc>
      </w:tr>
      <w:tr w:rsidR="009E47C4" w:rsidRPr="00C47C59" w14:paraId="165C3D41" w14:textId="77777777" w:rsidTr="00722665">
        <w:tc>
          <w:tcPr>
            <w:tcW w:w="372" w:type="pct"/>
          </w:tcPr>
          <w:p w14:paraId="41FFCCC6"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0D5F8EBE" w14:textId="77777777" w:rsidR="009E47C4" w:rsidRPr="00C47C59" w:rsidRDefault="009E47C4" w:rsidP="00722665">
            <w:pPr>
              <w:rPr>
                <w:sz w:val="18"/>
                <w:szCs w:val="18"/>
              </w:rPr>
            </w:pPr>
            <w:r w:rsidRPr="006F7CE7">
              <w:rPr>
                <w:sz w:val="18"/>
                <w:szCs w:val="18"/>
              </w:rPr>
              <w:t>EIJKELKAMP</w:t>
            </w:r>
            <w:r>
              <w:rPr>
                <w:sz w:val="18"/>
                <w:szCs w:val="18"/>
              </w:rPr>
              <w:t xml:space="preserve"> 06.01</w:t>
            </w:r>
          </w:p>
        </w:tc>
        <w:tc>
          <w:tcPr>
            <w:tcW w:w="897" w:type="pct"/>
          </w:tcPr>
          <w:p w14:paraId="25F3B517" w14:textId="77777777" w:rsidR="009E47C4" w:rsidRDefault="009E47C4" w:rsidP="00722665">
            <w:pPr>
              <w:jc w:val="right"/>
              <w:rPr>
                <w:sz w:val="18"/>
                <w:szCs w:val="18"/>
              </w:rPr>
            </w:pPr>
            <w:r w:rsidRPr="005A0B11">
              <w:rPr>
                <w:rFonts w:hint="eastAsia"/>
                <w:sz w:val="18"/>
                <w:szCs w:val="18"/>
              </w:rPr>
              <w:t>6</w:t>
            </w:r>
            <w:r w:rsidRPr="005A0B11">
              <w:rPr>
                <w:sz w:val="18"/>
                <w:szCs w:val="18"/>
              </w:rPr>
              <w:t>0</w:t>
            </w:r>
          </w:p>
        </w:tc>
        <w:tc>
          <w:tcPr>
            <w:tcW w:w="723" w:type="pct"/>
          </w:tcPr>
          <w:p w14:paraId="1176F153" w14:textId="77777777" w:rsidR="009E47C4" w:rsidRDefault="009E47C4" w:rsidP="00722665">
            <w:pPr>
              <w:jc w:val="right"/>
              <w:rPr>
                <w:sz w:val="18"/>
                <w:szCs w:val="18"/>
              </w:rPr>
            </w:pPr>
            <w:r>
              <w:rPr>
                <w:rFonts w:hint="eastAsia"/>
                <w:sz w:val="18"/>
                <w:szCs w:val="18"/>
              </w:rPr>
              <w:t>2</w:t>
            </w:r>
            <w:r>
              <w:rPr>
                <w:sz w:val="18"/>
                <w:szCs w:val="18"/>
              </w:rPr>
              <w:t>00.00</w:t>
            </w:r>
          </w:p>
        </w:tc>
        <w:tc>
          <w:tcPr>
            <w:tcW w:w="781" w:type="pct"/>
          </w:tcPr>
          <w:p w14:paraId="1B14B8F3" w14:textId="77777777" w:rsidR="009E47C4" w:rsidRDefault="009E47C4" w:rsidP="00722665">
            <w:pPr>
              <w:jc w:val="right"/>
              <w:rPr>
                <w:sz w:val="18"/>
                <w:szCs w:val="18"/>
              </w:rPr>
            </w:pPr>
            <w:r>
              <w:rPr>
                <w:rFonts w:hint="eastAsia"/>
                <w:sz w:val="18"/>
                <w:szCs w:val="18"/>
              </w:rPr>
              <w:t>1</w:t>
            </w:r>
            <w:r>
              <w:rPr>
                <w:sz w:val="18"/>
                <w:szCs w:val="18"/>
              </w:rPr>
              <w:t>5.96</w:t>
            </w:r>
          </w:p>
        </w:tc>
        <w:tc>
          <w:tcPr>
            <w:tcW w:w="781" w:type="pct"/>
            <w:vAlign w:val="center"/>
          </w:tcPr>
          <w:p w14:paraId="0507F3CF" w14:textId="77777777" w:rsidR="009E47C4" w:rsidRDefault="009E47C4" w:rsidP="00722665">
            <w:pPr>
              <w:jc w:val="right"/>
              <w:rPr>
                <w:sz w:val="18"/>
                <w:szCs w:val="18"/>
              </w:rPr>
            </w:pPr>
            <w:r>
              <w:rPr>
                <w:rFonts w:hint="eastAsia"/>
                <w:color w:val="000000"/>
                <w:sz w:val="18"/>
                <w:szCs w:val="18"/>
              </w:rPr>
              <w:t>13.8</w:t>
            </w:r>
          </w:p>
        </w:tc>
        <w:tc>
          <w:tcPr>
            <w:tcW w:w="373" w:type="pct"/>
          </w:tcPr>
          <w:p w14:paraId="1D210226" w14:textId="77777777" w:rsidR="009E47C4" w:rsidRDefault="009E47C4" w:rsidP="00722665">
            <w:pPr>
              <w:rPr>
                <w:sz w:val="18"/>
                <w:szCs w:val="18"/>
              </w:rPr>
            </w:pPr>
          </w:p>
        </w:tc>
      </w:tr>
      <w:tr w:rsidR="009E47C4" w:rsidRPr="00C47C59" w14:paraId="30955A1D" w14:textId="77777777" w:rsidTr="00722665">
        <w:tc>
          <w:tcPr>
            <w:tcW w:w="372" w:type="pct"/>
          </w:tcPr>
          <w:p w14:paraId="6BA6AB18"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73FEB8AB" w14:textId="77777777" w:rsidR="009E47C4" w:rsidRPr="00C47C59" w:rsidRDefault="009E47C4" w:rsidP="00722665">
            <w:pPr>
              <w:rPr>
                <w:sz w:val="18"/>
                <w:szCs w:val="18"/>
              </w:rPr>
            </w:pPr>
            <w:r w:rsidRPr="006F7CE7">
              <w:rPr>
                <w:sz w:val="18"/>
                <w:szCs w:val="18"/>
              </w:rPr>
              <w:t>EIJKELKAMP</w:t>
            </w:r>
            <w:r>
              <w:rPr>
                <w:sz w:val="18"/>
                <w:szCs w:val="18"/>
              </w:rPr>
              <w:t xml:space="preserve"> 06.01</w:t>
            </w:r>
          </w:p>
        </w:tc>
        <w:tc>
          <w:tcPr>
            <w:tcW w:w="897" w:type="pct"/>
          </w:tcPr>
          <w:p w14:paraId="0DFF6931" w14:textId="77777777" w:rsidR="009E47C4" w:rsidRDefault="009E47C4" w:rsidP="00722665">
            <w:pPr>
              <w:jc w:val="right"/>
              <w:rPr>
                <w:sz w:val="18"/>
                <w:szCs w:val="18"/>
              </w:rPr>
            </w:pPr>
            <w:r w:rsidRPr="005A0B11">
              <w:rPr>
                <w:rFonts w:hint="eastAsia"/>
                <w:sz w:val="18"/>
                <w:szCs w:val="18"/>
              </w:rPr>
              <w:t>6</w:t>
            </w:r>
            <w:r w:rsidRPr="005A0B11">
              <w:rPr>
                <w:sz w:val="18"/>
                <w:szCs w:val="18"/>
              </w:rPr>
              <w:t>0</w:t>
            </w:r>
          </w:p>
        </w:tc>
        <w:tc>
          <w:tcPr>
            <w:tcW w:w="723" w:type="pct"/>
          </w:tcPr>
          <w:p w14:paraId="1A733407" w14:textId="77777777" w:rsidR="009E47C4" w:rsidRDefault="009E47C4" w:rsidP="00722665">
            <w:pPr>
              <w:jc w:val="right"/>
              <w:rPr>
                <w:sz w:val="18"/>
                <w:szCs w:val="18"/>
              </w:rPr>
            </w:pPr>
            <w:r>
              <w:rPr>
                <w:rFonts w:hint="eastAsia"/>
                <w:sz w:val="18"/>
                <w:szCs w:val="18"/>
              </w:rPr>
              <w:t>3</w:t>
            </w:r>
            <w:r>
              <w:rPr>
                <w:sz w:val="18"/>
                <w:szCs w:val="18"/>
              </w:rPr>
              <w:t>33.33</w:t>
            </w:r>
          </w:p>
        </w:tc>
        <w:tc>
          <w:tcPr>
            <w:tcW w:w="781" w:type="pct"/>
          </w:tcPr>
          <w:p w14:paraId="509F9EFF" w14:textId="77777777" w:rsidR="009E47C4" w:rsidRDefault="009E47C4" w:rsidP="00722665">
            <w:pPr>
              <w:jc w:val="right"/>
              <w:rPr>
                <w:sz w:val="18"/>
                <w:szCs w:val="18"/>
              </w:rPr>
            </w:pPr>
            <w:r>
              <w:rPr>
                <w:rFonts w:hint="eastAsia"/>
                <w:sz w:val="18"/>
                <w:szCs w:val="18"/>
              </w:rPr>
              <w:t>2</w:t>
            </w:r>
            <w:r>
              <w:rPr>
                <w:sz w:val="18"/>
                <w:szCs w:val="18"/>
              </w:rPr>
              <w:t>0.60</w:t>
            </w:r>
          </w:p>
        </w:tc>
        <w:tc>
          <w:tcPr>
            <w:tcW w:w="781" w:type="pct"/>
            <w:vAlign w:val="center"/>
          </w:tcPr>
          <w:p w14:paraId="16A38E28" w14:textId="77777777" w:rsidR="009E47C4" w:rsidRDefault="009E47C4" w:rsidP="00722665">
            <w:pPr>
              <w:jc w:val="right"/>
              <w:rPr>
                <w:sz w:val="18"/>
                <w:szCs w:val="18"/>
              </w:rPr>
            </w:pPr>
            <w:r>
              <w:rPr>
                <w:rFonts w:hint="eastAsia"/>
                <w:color w:val="000000"/>
                <w:sz w:val="18"/>
                <w:szCs w:val="18"/>
              </w:rPr>
              <w:t>17.8</w:t>
            </w:r>
          </w:p>
        </w:tc>
        <w:tc>
          <w:tcPr>
            <w:tcW w:w="373" w:type="pct"/>
          </w:tcPr>
          <w:p w14:paraId="1B914F21" w14:textId="77777777" w:rsidR="009E47C4" w:rsidRDefault="009E47C4" w:rsidP="00722665">
            <w:pPr>
              <w:rPr>
                <w:sz w:val="18"/>
                <w:szCs w:val="18"/>
              </w:rPr>
            </w:pPr>
          </w:p>
        </w:tc>
      </w:tr>
      <w:tr w:rsidR="009E47C4" w:rsidRPr="00C47C59" w14:paraId="095CD1BA" w14:textId="77777777" w:rsidTr="00722665">
        <w:tc>
          <w:tcPr>
            <w:tcW w:w="372" w:type="pct"/>
          </w:tcPr>
          <w:p w14:paraId="6CAEDC0E"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0B3CF6E8" w14:textId="77777777" w:rsidR="009E47C4" w:rsidRPr="00C47C59" w:rsidRDefault="009E47C4" w:rsidP="00722665">
            <w:pPr>
              <w:rPr>
                <w:sz w:val="18"/>
                <w:szCs w:val="18"/>
              </w:rPr>
            </w:pPr>
            <w:r w:rsidRPr="006F7CE7">
              <w:rPr>
                <w:sz w:val="18"/>
                <w:szCs w:val="18"/>
              </w:rPr>
              <w:t>EIJKELKAMP</w:t>
            </w:r>
            <w:r>
              <w:rPr>
                <w:sz w:val="18"/>
                <w:szCs w:val="18"/>
              </w:rPr>
              <w:t xml:space="preserve"> 06.01</w:t>
            </w:r>
          </w:p>
        </w:tc>
        <w:tc>
          <w:tcPr>
            <w:tcW w:w="897" w:type="pct"/>
          </w:tcPr>
          <w:p w14:paraId="3CD8D276" w14:textId="77777777" w:rsidR="009E47C4" w:rsidRDefault="009E47C4" w:rsidP="00722665">
            <w:pPr>
              <w:jc w:val="right"/>
              <w:rPr>
                <w:sz w:val="18"/>
                <w:szCs w:val="18"/>
              </w:rPr>
            </w:pPr>
            <w:r w:rsidRPr="005A0B11">
              <w:rPr>
                <w:rFonts w:hint="eastAsia"/>
                <w:sz w:val="18"/>
                <w:szCs w:val="18"/>
              </w:rPr>
              <w:t>6</w:t>
            </w:r>
            <w:r w:rsidRPr="005A0B11">
              <w:rPr>
                <w:sz w:val="18"/>
                <w:szCs w:val="18"/>
              </w:rPr>
              <w:t>0</w:t>
            </w:r>
          </w:p>
        </w:tc>
        <w:tc>
          <w:tcPr>
            <w:tcW w:w="723" w:type="pct"/>
          </w:tcPr>
          <w:p w14:paraId="650ECAD6" w14:textId="77777777" w:rsidR="009E47C4" w:rsidRDefault="009E47C4" w:rsidP="00722665">
            <w:pPr>
              <w:jc w:val="right"/>
              <w:rPr>
                <w:sz w:val="18"/>
                <w:szCs w:val="18"/>
              </w:rPr>
            </w:pPr>
            <w:r>
              <w:rPr>
                <w:rFonts w:hint="eastAsia"/>
                <w:sz w:val="18"/>
                <w:szCs w:val="18"/>
              </w:rPr>
              <w:t>5</w:t>
            </w:r>
            <w:r>
              <w:rPr>
                <w:sz w:val="18"/>
                <w:szCs w:val="18"/>
              </w:rPr>
              <w:t>00.00</w:t>
            </w:r>
          </w:p>
        </w:tc>
        <w:tc>
          <w:tcPr>
            <w:tcW w:w="781" w:type="pct"/>
          </w:tcPr>
          <w:p w14:paraId="03886902" w14:textId="77777777" w:rsidR="009E47C4" w:rsidRDefault="009E47C4" w:rsidP="00722665">
            <w:pPr>
              <w:jc w:val="right"/>
              <w:rPr>
                <w:sz w:val="18"/>
                <w:szCs w:val="18"/>
              </w:rPr>
            </w:pPr>
            <w:r>
              <w:rPr>
                <w:rFonts w:hint="eastAsia"/>
                <w:sz w:val="18"/>
                <w:szCs w:val="18"/>
              </w:rPr>
              <w:t>2</w:t>
            </w:r>
            <w:r>
              <w:rPr>
                <w:sz w:val="18"/>
                <w:szCs w:val="18"/>
              </w:rPr>
              <w:t>5.23</w:t>
            </w:r>
          </w:p>
        </w:tc>
        <w:tc>
          <w:tcPr>
            <w:tcW w:w="781" w:type="pct"/>
            <w:vAlign w:val="center"/>
          </w:tcPr>
          <w:p w14:paraId="23312F78" w14:textId="77777777" w:rsidR="009E47C4" w:rsidRDefault="009E47C4" w:rsidP="00722665">
            <w:pPr>
              <w:jc w:val="right"/>
              <w:rPr>
                <w:sz w:val="18"/>
                <w:szCs w:val="18"/>
              </w:rPr>
            </w:pPr>
            <w:r>
              <w:rPr>
                <w:rFonts w:hint="eastAsia"/>
                <w:color w:val="000000"/>
                <w:sz w:val="18"/>
                <w:szCs w:val="18"/>
              </w:rPr>
              <w:t>21.8</w:t>
            </w:r>
          </w:p>
        </w:tc>
        <w:tc>
          <w:tcPr>
            <w:tcW w:w="373" w:type="pct"/>
          </w:tcPr>
          <w:p w14:paraId="30F6DBD9" w14:textId="77777777" w:rsidR="009E47C4" w:rsidRDefault="009E47C4" w:rsidP="00722665">
            <w:pPr>
              <w:rPr>
                <w:sz w:val="18"/>
                <w:szCs w:val="18"/>
              </w:rPr>
            </w:pPr>
          </w:p>
        </w:tc>
      </w:tr>
      <w:tr w:rsidR="009E47C4" w:rsidRPr="00C47C59" w14:paraId="2F769679" w14:textId="77777777" w:rsidTr="00722665">
        <w:tc>
          <w:tcPr>
            <w:tcW w:w="372" w:type="pct"/>
          </w:tcPr>
          <w:p w14:paraId="48E68165"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4DFEDBB4" w14:textId="77777777" w:rsidR="009E47C4" w:rsidRPr="00C47C59" w:rsidRDefault="009E47C4" w:rsidP="00722665">
            <w:pPr>
              <w:rPr>
                <w:sz w:val="18"/>
                <w:szCs w:val="18"/>
              </w:rPr>
            </w:pPr>
            <w:r w:rsidRPr="00C47C59">
              <w:rPr>
                <w:sz w:val="18"/>
                <w:szCs w:val="18"/>
              </w:rPr>
              <w:t>JJF 1011</w:t>
            </w:r>
          </w:p>
        </w:tc>
        <w:tc>
          <w:tcPr>
            <w:tcW w:w="897" w:type="pct"/>
          </w:tcPr>
          <w:p w14:paraId="453F6454" w14:textId="77777777" w:rsidR="009E47C4" w:rsidRPr="00C47C59" w:rsidRDefault="009E47C4" w:rsidP="00722665">
            <w:pPr>
              <w:jc w:val="right"/>
              <w:rPr>
                <w:sz w:val="18"/>
                <w:szCs w:val="18"/>
              </w:rPr>
            </w:pPr>
            <w:r>
              <w:rPr>
                <w:rFonts w:hint="eastAsia"/>
                <w:sz w:val="18"/>
                <w:szCs w:val="18"/>
              </w:rPr>
              <w:t>9</w:t>
            </w:r>
            <w:r>
              <w:rPr>
                <w:sz w:val="18"/>
                <w:szCs w:val="18"/>
              </w:rPr>
              <w:t>0</w:t>
            </w:r>
          </w:p>
        </w:tc>
        <w:tc>
          <w:tcPr>
            <w:tcW w:w="723" w:type="pct"/>
          </w:tcPr>
          <w:p w14:paraId="2BF8BF7C" w14:textId="77777777" w:rsidR="009E47C4" w:rsidRPr="00C47C59" w:rsidRDefault="009E47C4" w:rsidP="00722665">
            <w:pPr>
              <w:jc w:val="right"/>
              <w:rPr>
                <w:sz w:val="18"/>
                <w:szCs w:val="18"/>
              </w:rPr>
            </w:pPr>
            <w:r>
              <w:rPr>
                <w:rFonts w:hint="eastAsia"/>
                <w:sz w:val="18"/>
                <w:szCs w:val="18"/>
              </w:rPr>
              <w:t>7</w:t>
            </w:r>
            <w:r>
              <w:rPr>
                <w:sz w:val="18"/>
                <w:szCs w:val="18"/>
              </w:rPr>
              <w:t>8.54</w:t>
            </w:r>
          </w:p>
        </w:tc>
        <w:tc>
          <w:tcPr>
            <w:tcW w:w="781" w:type="pct"/>
          </w:tcPr>
          <w:p w14:paraId="00D6D124" w14:textId="77777777" w:rsidR="009E47C4" w:rsidRPr="00C47C59" w:rsidRDefault="009E47C4" w:rsidP="00722665">
            <w:pPr>
              <w:jc w:val="right"/>
              <w:rPr>
                <w:sz w:val="18"/>
                <w:szCs w:val="18"/>
              </w:rPr>
            </w:pPr>
            <w:r>
              <w:rPr>
                <w:rFonts w:hint="eastAsia"/>
                <w:sz w:val="18"/>
                <w:szCs w:val="18"/>
              </w:rPr>
              <w:t>1</w:t>
            </w:r>
            <w:r>
              <w:rPr>
                <w:sz w:val="18"/>
                <w:szCs w:val="18"/>
              </w:rPr>
              <w:t>0.00</w:t>
            </w:r>
          </w:p>
        </w:tc>
        <w:tc>
          <w:tcPr>
            <w:tcW w:w="781" w:type="pct"/>
            <w:vAlign w:val="center"/>
          </w:tcPr>
          <w:p w14:paraId="4C22046E" w14:textId="77777777" w:rsidR="009E47C4" w:rsidRPr="00C47C59" w:rsidRDefault="009E47C4" w:rsidP="00722665">
            <w:pPr>
              <w:jc w:val="right"/>
              <w:rPr>
                <w:sz w:val="18"/>
                <w:szCs w:val="18"/>
              </w:rPr>
            </w:pPr>
            <w:r>
              <w:rPr>
                <w:rFonts w:hint="eastAsia"/>
                <w:color w:val="000000"/>
                <w:sz w:val="18"/>
                <w:szCs w:val="18"/>
              </w:rPr>
              <w:t>5.0</w:t>
            </w:r>
          </w:p>
        </w:tc>
        <w:tc>
          <w:tcPr>
            <w:tcW w:w="373" w:type="pct"/>
          </w:tcPr>
          <w:p w14:paraId="5010CC33" w14:textId="77777777" w:rsidR="009E47C4" w:rsidRPr="00C47C59" w:rsidRDefault="009E47C4" w:rsidP="00722665">
            <w:pPr>
              <w:rPr>
                <w:sz w:val="18"/>
                <w:szCs w:val="18"/>
              </w:rPr>
            </w:pPr>
            <w:r>
              <w:rPr>
                <w:rFonts w:hint="eastAsia"/>
                <w:sz w:val="18"/>
                <w:szCs w:val="18"/>
              </w:rPr>
              <w:t>硬土</w:t>
            </w:r>
          </w:p>
        </w:tc>
      </w:tr>
      <w:tr w:rsidR="009E47C4" w:rsidRPr="00C47C59" w14:paraId="3C1C7EB4" w14:textId="77777777" w:rsidTr="00722665">
        <w:tc>
          <w:tcPr>
            <w:tcW w:w="372" w:type="pct"/>
          </w:tcPr>
          <w:p w14:paraId="7377608B" w14:textId="77777777" w:rsidR="009E47C4" w:rsidRPr="00C47C59" w:rsidRDefault="009E47C4" w:rsidP="00722665">
            <w:pPr>
              <w:pStyle w:val="a5"/>
              <w:numPr>
                <w:ilvl w:val="0"/>
                <w:numId w:val="11"/>
              </w:numPr>
              <w:ind w:firstLineChars="0"/>
              <w:jc w:val="center"/>
              <w:rPr>
                <w:sz w:val="18"/>
                <w:szCs w:val="18"/>
              </w:rPr>
            </w:pPr>
          </w:p>
        </w:tc>
        <w:tc>
          <w:tcPr>
            <w:tcW w:w="1072" w:type="pct"/>
          </w:tcPr>
          <w:p w14:paraId="45BFA45D" w14:textId="77777777" w:rsidR="009E47C4" w:rsidRPr="00C47C59" w:rsidRDefault="009E47C4" w:rsidP="00722665">
            <w:pPr>
              <w:rPr>
                <w:sz w:val="18"/>
                <w:szCs w:val="18"/>
              </w:rPr>
            </w:pPr>
            <w:r w:rsidRPr="00C47C59">
              <w:rPr>
                <w:sz w:val="18"/>
                <w:szCs w:val="18"/>
              </w:rPr>
              <w:t>TE-3</w:t>
            </w:r>
          </w:p>
        </w:tc>
        <w:tc>
          <w:tcPr>
            <w:tcW w:w="897" w:type="pct"/>
          </w:tcPr>
          <w:p w14:paraId="641164F7" w14:textId="77777777" w:rsidR="009E47C4" w:rsidRPr="00C47C59" w:rsidRDefault="009E47C4" w:rsidP="00722665">
            <w:pPr>
              <w:jc w:val="right"/>
              <w:rPr>
                <w:sz w:val="18"/>
                <w:szCs w:val="18"/>
              </w:rPr>
            </w:pPr>
            <w:r>
              <w:rPr>
                <w:rFonts w:hint="eastAsia"/>
                <w:sz w:val="18"/>
                <w:szCs w:val="18"/>
              </w:rPr>
              <w:t>9</w:t>
            </w:r>
            <w:r>
              <w:rPr>
                <w:sz w:val="18"/>
                <w:szCs w:val="18"/>
              </w:rPr>
              <w:t>0</w:t>
            </w:r>
          </w:p>
        </w:tc>
        <w:tc>
          <w:tcPr>
            <w:tcW w:w="723" w:type="pct"/>
          </w:tcPr>
          <w:p w14:paraId="0A5B4820" w14:textId="77777777" w:rsidR="009E47C4" w:rsidRPr="00C47C59" w:rsidRDefault="009E47C4" w:rsidP="00722665">
            <w:pPr>
              <w:jc w:val="right"/>
              <w:rPr>
                <w:sz w:val="18"/>
                <w:szCs w:val="18"/>
              </w:rPr>
            </w:pPr>
            <w:r>
              <w:rPr>
                <w:sz w:val="18"/>
                <w:szCs w:val="18"/>
              </w:rPr>
              <w:t>99.23</w:t>
            </w:r>
          </w:p>
        </w:tc>
        <w:tc>
          <w:tcPr>
            <w:tcW w:w="781" w:type="pct"/>
          </w:tcPr>
          <w:p w14:paraId="6AEAB8C8" w14:textId="77777777" w:rsidR="009E47C4" w:rsidRPr="00C47C59" w:rsidRDefault="009E47C4" w:rsidP="00722665">
            <w:pPr>
              <w:jc w:val="right"/>
              <w:rPr>
                <w:sz w:val="18"/>
                <w:szCs w:val="18"/>
              </w:rPr>
            </w:pPr>
            <w:r>
              <w:rPr>
                <w:rFonts w:hint="eastAsia"/>
                <w:sz w:val="18"/>
                <w:szCs w:val="18"/>
              </w:rPr>
              <w:t>1</w:t>
            </w:r>
            <w:r>
              <w:rPr>
                <w:sz w:val="18"/>
                <w:szCs w:val="18"/>
              </w:rPr>
              <w:t>1.24</w:t>
            </w:r>
          </w:p>
        </w:tc>
        <w:tc>
          <w:tcPr>
            <w:tcW w:w="781" w:type="pct"/>
            <w:vAlign w:val="center"/>
          </w:tcPr>
          <w:p w14:paraId="49BFC399" w14:textId="77777777" w:rsidR="009E47C4" w:rsidRPr="00C47C59" w:rsidRDefault="009E47C4" w:rsidP="00722665">
            <w:pPr>
              <w:jc w:val="right"/>
              <w:rPr>
                <w:sz w:val="18"/>
                <w:szCs w:val="18"/>
              </w:rPr>
            </w:pPr>
            <w:r>
              <w:rPr>
                <w:rFonts w:hint="eastAsia"/>
                <w:color w:val="000000"/>
                <w:sz w:val="18"/>
                <w:szCs w:val="18"/>
              </w:rPr>
              <w:t>5.6</w:t>
            </w:r>
          </w:p>
        </w:tc>
        <w:tc>
          <w:tcPr>
            <w:tcW w:w="373" w:type="pct"/>
          </w:tcPr>
          <w:p w14:paraId="5CBF90A2" w14:textId="77777777" w:rsidR="009E47C4" w:rsidRPr="00C47C59" w:rsidRDefault="009E47C4" w:rsidP="00722665">
            <w:pPr>
              <w:rPr>
                <w:sz w:val="18"/>
                <w:szCs w:val="18"/>
              </w:rPr>
            </w:pPr>
          </w:p>
        </w:tc>
      </w:tr>
    </w:tbl>
    <w:p w14:paraId="21EE50DC" w14:textId="77777777" w:rsidR="000543FE" w:rsidRDefault="000543FE" w:rsidP="00D40F94">
      <w:pPr>
        <w:pStyle w:val="ac"/>
        <w:spacing w:beforeLines="50" w:before="156"/>
        <w:ind w:firstLine="480"/>
      </w:pPr>
      <w:r>
        <w:rPr>
          <w:rFonts w:hint="eastAsia"/>
        </w:rPr>
        <w:t>在选择底面直径时，一方面考虑仪器操作时产生的反力带来的稳定性，另一方面也要考虑联接锥头的轴杆的强度和刚度。一般情况下，按人体生物力学特性，站立姿势可以产生与体重相当的平稳的向下推力，或者利用体重平衡贯入仪产生的向上的反力。考虑一定的安全裕度，人能产生的推力以体重的</w:t>
      </w:r>
      <w:r>
        <w:t>90%</w:t>
      </w:r>
      <w:r>
        <w:rPr>
          <w:rFonts w:hint="eastAsia"/>
        </w:rPr>
        <w:t>计。若以成年人</w:t>
      </w:r>
      <w:r>
        <w:t>75</w:t>
      </w:r>
      <w:r>
        <w:rPr>
          <w:rFonts w:hint="eastAsia"/>
        </w:rPr>
        <w:t>kg</w:t>
      </w:r>
      <w:r>
        <w:rPr>
          <w:rFonts w:hint="eastAsia"/>
        </w:rPr>
        <w:t>体重测算，产生的向下推力为</w:t>
      </w:r>
      <m:oMath>
        <m:r>
          <w:rPr>
            <w:rFonts w:ascii="Cambria Math" w:hAnsi="Cambria Math"/>
          </w:rPr>
          <m:t>75×0.90×9.80665=662</m:t>
        </m:r>
        <m:r>
          <w:rPr>
            <w:rFonts w:ascii="Cambria Math" w:hAnsi="Cambria Math" w:hint="eastAsia"/>
          </w:rPr>
          <m:t>N</m:t>
        </m:r>
      </m:oMath>
      <w:r>
        <w:rPr>
          <w:rFonts w:hint="eastAsia"/>
        </w:rPr>
        <w:t>。若阻力测量上限为</w:t>
      </w:r>
      <w:r>
        <w:rPr>
          <w:rFonts w:hint="eastAsia"/>
        </w:rPr>
        <w:t>6</w:t>
      </w:r>
      <w:r>
        <w:t>50</w:t>
      </w:r>
      <w:r>
        <w:rPr>
          <w:rFonts w:hint="eastAsia"/>
        </w:rPr>
        <w:t>N</w:t>
      </w:r>
      <w:r>
        <w:rPr>
          <w:rFonts w:hint="eastAsia"/>
        </w:rPr>
        <w:t>，测量下限一般不低于上限的</w:t>
      </w:r>
      <w:r>
        <w:rPr>
          <w:rFonts w:hint="eastAsia"/>
        </w:rPr>
        <w:t>1</w:t>
      </w:r>
      <w:r>
        <w:t>%</w:t>
      </w:r>
      <w:r>
        <w:rPr>
          <w:rFonts w:hint="eastAsia"/>
        </w:rPr>
        <w:t>，则圆锥指数的测量范围如下表所示。</w:t>
      </w:r>
    </w:p>
    <w:p w14:paraId="4EA0C044" w14:textId="77777777" w:rsidR="000543FE" w:rsidRDefault="000543FE" w:rsidP="000543FE">
      <w:pPr>
        <w:pStyle w:val="a9"/>
        <w:keepNext/>
        <w:jc w:val="center"/>
      </w:pPr>
      <w:r>
        <w:t>表</w:t>
      </w:r>
      <w:r>
        <w:t xml:space="preserve"> </w:t>
      </w:r>
      <w:r>
        <w:fldChar w:fldCharType="begin"/>
      </w:r>
      <w:r>
        <w:instrText xml:space="preserve"> SEQ </w:instrText>
      </w:r>
      <w:r>
        <w:instrText>表</w:instrText>
      </w:r>
      <w:r>
        <w:instrText xml:space="preserve"> \* ARABIC </w:instrText>
      </w:r>
      <w:r>
        <w:fldChar w:fldCharType="separate"/>
      </w:r>
      <w:r>
        <w:rPr>
          <w:noProof/>
        </w:rPr>
        <w:t>2</w:t>
      </w:r>
      <w:r>
        <w:fldChar w:fldCharType="end"/>
      </w:r>
      <w:r>
        <w:t xml:space="preserve">  </w:t>
      </w:r>
      <w:r>
        <w:rPr>
          <w:rFonts w:hint="eastAsia"/>
        </w:rPr>
        <w:t>各种底面面积下土壤圆锥指数测量范围</w:t>
      </w:r>
    </w:p>
    <w:tbl>
      <w:tblPr>
        <w:tblStyle w:val="a7"/>
        <w:tblW w:w="5000" w:type="pct"/>
        <w:tblLook w:val="04A0" w:firstRow="1" w:lastRow="0" w:firstColumn="1" w:lastColumn="0" w:noHBand="0" w:noVBand="1"/>
      </w:tblPr>
      <w:tblGrid>
        <w:gridCol w:w="1913"/>
        <w:gridCol w:w="805"/>
        <w:gridCol w:w="961"/>
        <w:gridCol w:w="961"/>
        <w:gridCol w:w="961"/>
        <w:gridCol w:w="992"/>
        <w:gridCol w:w="961"/>
        <w:gridCol w:w="968"/>
      </w:tblGrid>
      <w:tr w:rsidR="000543FE" w:rsidRPr="00121C1C" w14:paraId="052AF1C7" w14:textId="77777777" w:rsidTr="00722665">
        <w:tc>
          <w:tcPr>
            <w:tcW w:w="1594" w:type="pct"/>
            <w:gridSpan w:val="2"/>
          </w:tcPr>
          <w:p w14:paraId="07FCE153" w14:textId="77777777" w:rsidR="000543FE" w:rsidRPr="00121C1C" w:rsidRDefault="000543FE" w:rsidP="00722665">
            <w:pPr>
              <w:jc w:val="center"/>
              <w:rPr>
                <w:sz w:val="18"/>
                <w:szCs w:val="18"/>
              </w:rPr>
            </w:pPr>
          </w:p>
        </w:tc>
        <w:tc>
          <w:tcPr>
            <w:tcW w:w="3406" w:type="pct"/>
            <w:gridSpan w:val="6"/>
          </w:tcPr>
          <w:p w14:paraId="0B5CE0DB" w14:textId="77777777" w:rsidR="000543FE" w:rsidRPr="00121C1C" w:rsidRDefault="000543FE" w:rsidP="00722665">
            <w:pPr>
              <w:jc w:val="center"/>
              <w:rPr>
                <w:sz w:val="18"/>
                <w:szCs w:val="18"/>
              </w:rPr>
            </w:pPr>
            <w:r w:rsidRPr="00121C1C">
              <w:rPr>
                <w:rFonts w:hint="eastAsia"/>
                <w:sz w:val="18"/>
                <w:szCs w:val="18"/>
              </w:rPr>
              <w:t>土壤圆锥指数</w:t>
            </w:r>
            <w:r>
              <w:rPr>
                <w:rFonts w:hint="eastAsia"/>
                <w:sz w:val="18"/>
                <w:szCs w:val="18"/>
              </w:rPr>
              <w:t>CI</w:t>
            </w:r>
          </w:p>
        </w:tc>
      </w:tr>
      <w:tr w:rsidR="000543FE" w:rsidRPr="00121C1C" w14:paraId="441600DE" w14:textId="77777777" w:rsidTr="00722665">
        <w:tc>
          <w:tcPr>
            <w:tcW w:w="1594" w:type="pct"/>
            <w:gridSpan w:val="2"/>
          </w:tcPr>
          <w:p w14:paraId="5B8A05F4" w14:textId="77777777" w:rsidR="000543FE" w:rsidRPr="00121C1C" w:rsidRDefault="000543FE" w:rsidP="00722665">
            <w:pPr>
              <w:rPr>
                <w:sz w:val="18"/>
                <w:szCs w:val="18"/>
              </w:rPr>
            </w:pPr>
            <w:r w:rsidRPr="00121C1C">
              <w:rPr>
                <w:rFonts w:hint="eastAsia"/>
                <w:sz w:val="18"/>
                <w:szCs w:val="18"/>
              </w:rPr>
              <w:t>底面面积/</w:t>
            </w:r>
            <w:r w:rsidRPr="00121C1C">
              <w:rPr>
                <w:sz w:val="18"/>
                <w:szCs w:val="18"/>
              </w:rPr>
              <w:t>mm</w:t>
            </w:r>
            <w:r w:rsidRPr="00121C1C">
              <w:rPr>
                <w:sz w:val="18"/>
                <w:szCs w:val="18"/>
                <w:vertAlign w:val="superscript"/>
              </w:rPr>
              <w:t>2</w:t>
            </w:r>
          </w:p>
        </w:tc>
        <w:tc>
          <w:tcPr>
            <w:tcW w:w="564" w:type="pct"/>
            <w:vAlign w:val="center"/>
          </w:tcPr>
          <w:p w14:paraId="5913575A" w14:textId="77777777" w:rsidR="000543FE" w:rsidRPr="00121C1C" w:rsidRDefault="000543FE" w:rsidP="00722665">
            <w:pPr>
              <w:jc w:val="center"/>
              <w:rPr>
                <w:sz w:val="18"/>
                <w:szCs w:val="18"/>
              </w:rPr>
            </w:pPr>
            <w:r w:rsidRPr="00121C1C">
              <w:rPr>
                <w:sz w:val="18"/>
                <w:szCs w:val="18"/>
              </w:rPr>
              <w:t>100</w:t>
            </w:r>
          </w:p>
        </w:tc>
        <w:tc>
          <w:tcPr>
            <w:tcW w:w="564" w:type="pct"/>
          </w:tcPr>
          <w:p w14:paraId="560AFF3F" w14:textId="77777777" w:rsidR="000543FE" w:rsidRPr="00121C1C" w:rsidRDefault="000543FE" w:rsidP="00722665">
            <w:pPr>
              <w:jc w:val="center"/>
              <w:rPr>
                <w:sz w:val="18"/>
                <w:szCs w:val="18"/>
              </w:rPr>
            </w:pPr>
            <w:r w:rsidRPr="00121C1C">
              <w:rPr>
                <w:rFonts w:hint="eastAsia"/>
                <w:sz w:val="18"/>
                <w:szCs w:val="18"/>
              </w:rPr>
              <w:t>1</w:t>
            </w:r>
            <w:r w:rsidRPr="00121C1C">
              <w:rPr>
                <w:sz w:val="18"/>
                <w:szCs w:val="18"/>
              </w:rPr>
              <w:t>29</w:t>
            </w:r>
          </w:p>
        </w:tc>
        <w:tc>
          <w:tcPr>
            <w:tcW w:w="564" w:type="pct"/>
            <w:vAlign w:val="center"/>
          </w:tcPr>
          <w:p w14:paraId="7EEEEEC5" w14:textId="77777777" w:rsidR="000543FE" w:rsidRPr="00121C1C" w:rsidRDefault="000543FE" w:rsidP="00722665">
            <w:pPr>
              <w:jc w:val="center"/>
              <w:rPr>
                <w:sz w:val="18"/>
                <w:szCs w:val="18"/>
              </w:rPr>
            </w:pPr>
            <w:r w:rsidRPr="00121C1C">
              <w:rPr>
                <w:sz w:val="18"/>
                <w:szCs w:val="18"/>
              </w:rPr>
              <w:t>200</w:t>
            </w:r>
          </w:p>
        </w:tc>
        <w:tc>
          <w:tcPr>
            <w:tcW w:w="582" w:type="pct"/>
          </w:tcPr>
          <w:p w14:paraId="2F4B086F" w14:textId="77777777" w:rsidR="000543FE" w:rsidRPr="00121C1C" w:rsidRDefault="000543FE" w:rsidP="00722665">
            <w:pPr>
              <w:jc w:val="center"/>
              <w:rPr>
                <w:sz w:val="18"/>
                <w:szCs w:val="18"/>
              </w:rPr>
            </w:pPr>
            <w:r w:rsidRPr="00121C1C">
              <w:rPr>
                <w:rFonts w:hint="eastAsia"/>
                <w:sz w:val="18"/>
                <w:szCs w:val="18"/>
              </w:rPr>
              <w:t>3</w:t>
            </w:r>
            <w:r w:rsidRPr="00121C1C">
              <w:rPr>
                <w:sz w:val="18"/>
                <w:szCs w:val="18"/>
              </w:rPr>
              <w:t>00</w:t>
            </w:r>
          </w:p>
        </w:tc>
        <w:tc>
          <w:tcPr>
            <w:tcW w:w="564" w:type="pct"/>
            <w:vAlign w:val="center"/>
          </w:tcPr>
          <w:p w14:paraId="6C8F5061" w14:textId="77777777" w:rsidR="000543FE" w:rsidRPr="00121C1C" w:rsidRDefault="000543FE" w:rsidP="00722665">
            <w:pPr>
              <w:jc w:val="center"/>
              <w:rPr>
                <w:sz w:val="18"/>
                <w:szCs w:val="18"/>
              </w:rPr>
            </w:pPr>
            <w:r w:rsidRPr="00121C1C">
              <w:rPr>
                <w:sz w:val="18"/>
                <w:szCs w:val="18"/>
              </w:rPr>
              <w:t>323</w:t>
            </w:r>
          </w:p>
        </w:tc>
        <w:tc>
          <w:tcPr>
            <w:tcW w:w="568" w:type="pct"/>
            <w:vAlign w:val="center"/>
          </w:tcPr>
          <w:p w14:paraId="510B9312" w14:textId="77777777" w:rsidR="000543FE" w:rsidRPr="00121C1C" w:rsidRDefault="000543FE" w:rsidP="00722665">
            <w:pPr>
              <w:jc w:val="center"/>
              <w:rPr>
                <w:sz w:val="18"/>
                <w:szCs w:val="18"/>
              </w:rPr>
            </w:pPr>
            <w:r w:rsidRPr="00121C1C">
              <w:rPr>
                <w:sz w:val="18"/>
                <w:szCs w:val="18"/>
              </w:rPr>
              <w:t>500</w:t>
            </w:r>
          </w:p>
        </w:tc>
      </w:tr>
      <w:tr w:rsidR="000543FE" w:rsidRPr="00121C1C" w14:paraId="3117D260" w14:textId="77777777" w:rsidTr="00722665">
        <w:tc>
          <w:tcPr>
            <w:tcW w:w="1122" w:type="pct"/>
            <w:vMerge w:val="restart"/>
            <w:vAlign w:val="center"/>
          </w:tcPr>
          <w:p w14:paraId="1B2C0AA2" w14:textId="77777777" w:rsidR="000543FE" w:rsidRPr="00121C1C" w:rsidRDefault="000543FE" w:rsidP="00722665">
            <w:pPr>
              <w:rPr>
                <w:sz w:val="18"/>
                <w:szCs w:val="18"/>
              </w:rPr>
            </w:pPr>
            <w:r w:rsidRPr="00121C1C">
              <w:rPr>
                <w:rFonts w:hint="eastAsia"/>
                <w:sz w:val="18"/>
                <w:szCs w:val="18"/>
              </w:rPr>
              <w:t>贯入阻力/</w:t>
            </w:r>
            <w:r w:rsidRPr="00121C1C">
              <w:rPr>
                <w:sz w:val="18"/>
                <w:szCs w:val="18"/>
              </w:rPr>
              <w:t>N</w:t>
            </w:r>
          </w:p>
        </w:tc>
        <w:tc>
          <w:tcPr>
            <w:tcW w:w="472" w:type="pct"/>
          </w:tcPr>
          <w:p w14:paraId="03A0B55B" w14:textId="77777777" w:rsidR="000543FE" w:rsidRPr="00121C1C" w:rsidRDefault="000543FE" w:rsidP="00722665">
            <w:pPr>
              <w:rPr>
                <w:sz w:val="18"/>
                <w:szCs w:val="18"/>
              </w:rPr>
            </w:pPr>
            <w:r>
              <w:rPr>
                <w:rFonts w:hint="eastAsia"/>
                <w:sz w:val="18"/>
                <w:szCs w:val="18"/>
              </w:rPr>
              <w:t>1</w:t>
            </w:r>
            <w:r>
              <w:rPr>
                <w:sz w:val="18"/>
                <w:szCs w:val="18"/>
              </w:rPr>
              <w:t>0</w:t>
            </w:r>
          </w:p>
        </w:tc>
        <w:tc>
          <w:tcPr>
            <w:tcW w:w="564" w:type="pct"/>
            <w:vAlign w:val="bottom"/>
          </w:tcPr>
          <w:p w14:paraId="475A28FE" w14:textId="77777777" w:rsidR="000543FE" w:rsidRPr="00121C1C" w:rsidRDefault="000543FE" w:rsidP="00722665">
            <w:pPr>
              <w:jc w:val="right"/>
              <w:rPr>
                <w:sz w:val="18"/>
                <w:szCs w:val="18"/>
              </w:rPr>
            </w:pPr>
            <w:r w:rsidRPr="00121C1C">
              <w:rPr>
                <w:rFonts w:hint="eastAsia"/>
                <w:color w:val="000000"/>
                <w:sz w:val="18"/>
                <w:szCs w:val="18"/>
              </w:rPr>
              <w:t>0.10</w:t>
            </w:r>
          </w:p>
        </w:tc>
        <w:tc>
          <w:tcPr>
            <w:tcW w:w="564" w:type="pct"/>
            <w:vAlign w:val="bottom"/>
          </w:tcPr>
          <w:p w14:paraId="68E3764E" w14:textId="77777777" w:rsidR="000543FE" w:rsidRPr="00121C1C" w:rsidRDefault="000543FE" w:rsidP="00722665">
            <w:pPr>
              <w:jc w:val="right"/>
              <w:rPr>
                <w:color w:val="000000"/>
                <w:sz w:val="18"/>
                <w:szCs w:val="18"/>
              </w:rPr>
            </w:pPr>
            <w:r w:rsidRPr="00121C1C">
              <w:rPr>
                <w:rFonts w:hint="eastAsia"/>
                <w:color w:val="000000"/>
                <w:sz w:val="18"/>
                <w:szCs w:val="18"/>
              </w:rPr>
              <w:t>0.08</w:t>
            </w:r>
          </w:p>
        </w:tc>
        <w:tc>
          <w:tcPr>
            <w:tcW w:w="564" w:type="pct"/>
            <w:vAlign w:val="bottom"/>
          </w:tcPr>
          <w:p w14:paraId="793E8CF6" w14:textId="77777777" w:rsidR="000543FE" w:rsidRPr="00121C1C" w:rsidRDefault="000543FE" w:rsidP="00722665">
            <w:pPr>
              <w:jc w:val="right"/>
              <w:rPr>
                <w:sz w:val="18"/>
                <w:szCs w:val="18"/>
              </w:rPr>
            </w:pPr>
            <w:r w:rsidRPr="00121C1C">
              <w:rPr>
                <w:rFonts w:hint="eastAsia"/>
                <w:color w:val="000000"/>
                <w:sz w:val="18"/>
                <w:szCs w:val="18"/>
              </w:rPr>
              <w:t>0.05</w:t>
            </w:r>
          </w:p>
        </w:tc>
        <w:tc>
          <w:tcPr>
            <w:tcW w:w="582" w:type="pct"/>
            <w:vAlign w:val="bottom"/>
          </w:tcPr>
          <w:p w14:paraId="6FB2B885" w14:textId="77777777" w:rsidR="000543FE" w:rsidRPr="00121C1C" w:rsidRDefault="000543FE" w:rsidP="00722665">
            <w:pPr>
              <w:jc w:val="right"/>
              <w:rPr>
                <w:color w:val="000000"/>
                <w:sz w:val="18"/>
                <w:szCs w:val="18"/>
              </w:rPr>
            </w:pPr>
            <w:r w:rsidRPr="00121C1C">
              <w:rPr>
                <w:rFonts w:hint="eastAsia"/>
                <w:color w:val="000000"/>
                <w:sz w:val="18"/>
                <w:szCs w:val="18"/>
              </w:rPr>
              <w:t>0.03</w:t>
            </w:r>
          </w:p>
        </w:tc>
        <w:tc>
          <w:tcPr>
            <w:tcW w:w="564" w:type="pct"/>
            <w:vAlign w:val="bottom"/>
          </w:tcPr>
          <w:p w14:paraId="365DA999" w14:textId="77777777" w:rsidR="000543FE" w:rsidRPr="00121C1C" w:rsidRDefault="000543FE" w:rsidP="00722665">
            <w:pPr>
              <w:jc w:val="right"/>
              <w:rPr>
                <w:color w:val="000000"/>
                <w:sz w:val="18"/>
                <w:szCs w:val="18"/>
              </w:rPr>
            </w:pPr>
            <w:r w:rsidRPr="00121C1C">
              <w:rPr>
                <w:rFonts w:hint="eastAsia"/>
                <w:color w:val="000000"/>
                <w:sz w:val="18"/>
                <w:szCs w:val="18"/>
              </w:rPr>
              <w:t>0.03</w:t>
            </w:r>
          </w:p>
        </w:tc>
        <w:tc>
          <w:tcPr>
            <w:tcW w:w="568" w:type="pct"/>
            <w:vAlign w:val="bottom"/>
          </w:tcPr>
          <w:p w14:paraId="42401FFC" w14:textId="77777777" w:rsidR="000543FE" w:rsidRPr="00121C1C" w:rsidRDefault="000543FE" w:rsidP="00722665">
            <w:pPr>
              <w:jc w:val="right"/>
              <w:rPr>
                <w:sz w:val="18"/>
                <w:szCs w:val="18"/>
              </w:rPr>
            </w:pPr>
            <w:r w:rsidRPr="00121C1C">
              <w:rPr>
                <w:rFonts w:hint="eastAsia"/>
                <w:color w:val="000000"/>
                <w:sz w:val="18"/>
                <w:szCs w:val="18"/>
              </w:rPr>
              <w:t>0.02</w:t>
            </w:r>
          </w:p>
        </w:tc>
      </w:tr>
      <w:tr w:rsidR="000543FE" w:rsidRPr="00121C1C" w14:paraId="03B36A64" w14:textId="77777777" w:rsidTr="00722665">
        <w:tc>
          <w:tcPr>
            <w:tcW w:w="1122" w:type="pct"/>
            <w:vMerge/>
            <w:vAlign w:val="center"/>
          </w:tcPr>
          <w:p w14:paraId="79EE7FD1" w14:textId="77777777" w:rsidR="000543FE" w:rsidRPr="00121C1C" w:rsidRDefault="000543FE" w:rsidP="00722665">
            <w:pPr>
              <w:rPr>
                <w:sz w:val="18"/>
                <w:szCs w:val="18"/>
              </w:rPr>
            </w:pPr>
          </w:p>
        </w:tc>
        <w:tc>
          <w:tcPr>
            <w:tcW w:w="472" w:type="pct"/>
          </w:tcPr>
          <w:p w14:paraId="4DAA780D" w14:textId="77777777" w:rsidR="000543FE" w:rsidRPr="00121C1C" w:rsidRDefault="000543FE" w:rsidP="00722665">
            <w:pPr>
              <w:rPr>
                <w:sz w:val="18"/>
                <w:szCs w:val="18"/>
              </w:rPr>
            </w:pPr>
            <w:r>
              <w:rPr>
                <w:rFonts w:hint="eastAsia"/>
                <w:sz w:val="18"/>
                <w:szCs w:val="18"/>
              </w:rPr>
              <w:t>2</w:t>
            </w:r>
            <w:r>
              <w:rPr>
                <w:sz w:val="18"/>
                <w:szCs w:val="18"/>
              </w:rPr>
              <w:t>0</w:t>
            </w:r>
          </w:p>
        </w:tc>
        <w:tc>
          <w:tcPr>
            <w:tcW w:w="564" w:type="pct"/>
            <w:vAlign w:val="bottom"/>
          </w:tcPr>
          <w:p w14:paraId="1FCC5FC5" w14:textId="77777777" w:rsidR="000543FE" w:rsidRPr="00121C1C" w:rsidRDefault="000543FE" w:rsidP="00722665">
            <w:pPr>
              <w:jc w:val="right"/>
              <w:rPr>
                <w:sz w:val="18"/>
                <w:szCs w:val="18"/>
              </w:rPr>
            </w:pPr>
            <w:r w:rsidRPr="00121C1C">
              <w:rPr>
                <w:rFonts w:hint="eastAsia"/>
                <w:color w:val="000000"/>
                <w:sz w:val="18"/>
                <w:szCs w:val="18"/>
              </w:rPr>
              <w:t>0.20</w:t>
            </w:r>
          </w:p>
        </w:tc>
        <w:tc>
          <w:tcPr>
            <w:tcW w:w="564" w:type="pct"/>
            <w:vAlign w:val="bottom"/>
          </w:tcPr>
          <w:p w14:paraId="7E82C242" w14:textId="77777777" w:rsidR="000543FE" w:rsidRPr="00121C1C" w:rsidRDefault="000543FE" w:rsidP="00722665">
            <w:pPr>
              <w:jc w:val="right"/>
              <w:rPr>
                <w:color w:val="000000"/>
                <w:sz w:val="18"/>
                <w:szCs w:val="18"/>
              </w:rPr>
            </w:pPr>
            <w:r w:rsidRPr="00121C1C">
              <w:rPr>
                <w:rFonts w:hint="eastAsia"/>
                <w:color w:val="000000"/>
                <w:sz w:val="18"/>
                <w:szCs w:val="18"/>
              </w:rPr>
              <w:t>0.15</w:t>
            </w:r>
          </w:p>
        </w:tc>
        <w:tc>
          <w:tcPr>
            <w:tcW w:w="564" w:type="pct"/>
            <w:vAlign w:val="bottom"/>
          </w:tcPr>
          <w:p w14:paraId="796358EE" w14:textId="77777777" w:rsidR="000543FE" w:rsidRPr="00121C1C" w:rsidRDefault="000543FE" w:rsidP="00722665">
            <w:pPr>
              <w:jc w:val="right"/>
              <w:rPr>
                <w:sz w:val="18"/>
                <w:szCs w:val="18"/>
              </w:rPr>
            </w:pPr>
            <w:r w:rsidRPr="00121C1C">
              <w:rPr>
                <w:rFonts w:hint="eastAsia"/>
                <w:color w:val="000000"/>
                <w:sz w:val="18"/>
                <w:szCs w:val="18"/>
              </w:rPr>
              <w:t>0.10</w:t>
            </w:r>
          </w:p>
        </w:tc>
        <w:tc>
          <w:tcPr>
            <w:tcW w:w="582" w:type="pct"/>
            <w:vAlign w:val="bottom"/>
          </w:tcPr>
          <w:p w14:paraId="7357A582" w14:textId="77777777" w:rsidR="000543FE" w:rsidRPr="00121C1C" w:rsidRDefault="000543FE" w:rsidP="00722665">
            <w:pPr>
              <w:jc w:val="right"/>
              <w:rPr>
                <w:color w:val="000000"/>
                <w:sz w:val="18"/>
                <w:szCs w:val="18"/>
              </w:rPr>
            </w:pPr>
            <w:r w:rsidRPr="00121C1C">
              <w:rPr>
                <w:rFonts w:hint="eastAsia"/>
                <w:color w:val="000000"/>
                <w:sz w:val="18"/>
                <w:szCs w:val="18"/>
              </w:rPr>
              <w:t>0.07</w:t>
            </w:r>
          </w:p>
        </w:tc>
        <w:tc>
          <w:tcPr>
            <w:tcW w:w="564" w:type="pct"/>
            <w:vAlign w:val="bottom"/>
          </w:tcPr>
          <w:p w14:paraId="04756098" w14:textId="77777777" w:rsidR="000543FE" w:rsidRPr="00121C1C" w:rsidRDefault="000543FE" w:rsidP="00722665">
            <w:pPr>
              <w:jc w:val="right"/>
              <w:rPr>
                <w:color w:val="000000"/>
                <w:sz w:val="18"/>
                <w:szCs w:val="18"/>
              </w:rPr>
            </w:pPr>
            <w:r w:rsidRPr="00121C1C">
              <w:rPr>
                <w:rFonts w:hint="eastAsia"/>
                <w:color w:val="000000"/>
                <w:sz w:val="18"/>
                <w:szCs w:val="18"/>
              </w:rPr>
              <w:t>0.06</w:t>
            </w:r>
          </w:p>
        </w:tc>
        <w:tc>
          <w:tcPr>
            <w:tcW w:w="568" w:type="pct"/>
            <w:vAlign w:val="bottom"/>
          </w:tcPr>
          <w:p w14:paraId="26075E25" w14:textId="77777777" w:rsidR="000543FE" w:rsidRPr="00121C1C" w:rsidRDefault="000543FE" w:rsidP="00722665">
            <w:pPr>
              <w:jc w:val="right"/>
              <w:rPr>
                <w:sz w:val="18"/>
                <w:szCs w:val="18"/>
              </w:rPr>
            </w:pPr>
            <w:r w:rsidRPr="00121C1C">
              <w:rPr>
                <w:rFonts w:hint="eastAsia"/>
                <w:color w:val="000000"/>
                <w:sz w:val="18"/>
                <w:szCs w:val="18"/>
              </w:rPr>
              <w:t>0.04</w:t>
            </w:r>
          </w:p>
        </w:tc>
      </w:tr>
      <w:tr w:rsidR="000543FE" w:rsidRPr="00121C1C" w14:paraId="703545E8" w14:textId="77777777" w:rsidTr="00722665">
        <w:tc>
          <w:tcPr>
            <w:tcW w:w="1122" w:type="pct"/>
            <w:vMerge/>
            <w:vAlign w:val="center"/>
          </w:tcPr>
          <w:p w14:paraId="1505339B" w14:textId="77777777" w:rsidR="000543FE" w:rsidRPr="00121C1C" w:rsidRDefault="000543FE" w:rsidP="00722665">
            <w:pPr>
              <w:rPr>
                <w:sz w:val="18"/>
                <w:szCs w:val="18"/>
              </w:rPr>
            </w:pPr>
          </w:p>
        </w:tc>
        <w:tc>
          <w:tcPr>
            <w:tcW w:w="472" w:type="pct"/>
          </w:tcPr>
          <w:p w14:paraId="03997A68" w14:textId="77777777" w:rsidR="000543FE" w:rsidRPr="00121C1C" w:rsidRDefault="000543FE" w:rsidP="00722665">
            <w:pPr>
              <w:rPr>
                <w:sz w:val="18"/>
                <w:szCs w:val="18"/>
              </w:rPr>
            </w:pPr>
            <w:r w:rsidRPr="00121C1C">
              <w:rPr>
                <w:sz w:val="18"/>
                <w:szCs w:val="18"/>
              </w:rPr>
              <w:t>50</w:t>
            </w:r>
          </w:p>
        </w:tc>
        <w:tc>
          <w:tcPr>
            <w:tcW w:w="564" w:type="pct"/>
            <w:vAlign w:val="center"/>
          </w:tcPr>
          <w:p w14:paraId="31F9AAFE" w14:textId="77777777" w:rsidR="000543FE" w:rsidRPr="00121C1C" w:rsidRDefault="000543FE" w:rsidP="00722665">
            <w:pPr>
              <w:jc w:val="right"/>
              <w:rPr>
                <w:sz w:val="18"/>
                <w:szCs w:val="18"/>
              </w:rPr>
            </w:pPr>
            <w:r w:rsidRPr="00121C1C">
              <w:rPr>
                <w:sz w:val="18"/>
                <w:szCs w:val="18"/>
              </w:rPr>
              <w:t>0.50</w:t>
            </w:r>
          </w:p>
        </w:tc>
        <w:tc>
          <w:tcPr>
            <w:tcW w:w="564" w:type="pct"/>
            <w:vAlign w:val="bottom"/>
          </w:tcPr>
          <w:p w14:paraId="5221A97D" w14:textId="77777777" w:rsidR="000543FE" w:rsidRPr="00121C1C" w:rsidRDefault="000543FE" w:rsidP="00722665">
            <w:pPr>
              <w:jc w:val="right"/>
              <w:rPr>
                <w:sz w:val="18"/>
                <w:szCs w:val="18"/>
              </w:rPr>
            </w:pPr>
            <w:r w:rsidRPr="00121C1C">
              <w:rPr>
                <w:rFonts w:hint="eastAsia"/>
                <w:color w:val="000000"/>
                <w:sz w:val="18"/>
                <w:szCs w:val="18"/>
              </w:rPr>
              <w:t>0.39</w:t>
            </w:r>
          </w:p>
        </w:tc>
        <w:tc>
          <w:tcPr>
            <w:tcW w:w="564" w:type="pct"/>
            <w:vAlign w:val="center"/>
          </w:tcPr>
          <w:p w14:paraId="70700ABB" w14:textId="77777777" w:rsidR="000543FE" w:rsidRPr="00121C1C" w:rsidRDefault="000543FE" w:rsidP="00722665">
            <w:pPr>
              <w:jc w:val="right"/>
              <w:rPr>
                <w:sz w:val="18"/>
                <w:szCs w:val="18"/>
              </w:rPr>
            </w:pPr>
            <w:r w:rsidRPr="00121C1C">
              <w:rPr>
                <w:sz w:val="18"/>
                <w:szCs w:val="18"/>
              </w:rPr>
              <w:t>0.25</w:t>
            </w:r>
          </w:p>
        </w:tc>
        <w:tc>
          <w:tcPr>
            <w:tcW w:w="582" w:type="pct"/>
            <w:vAlign w:val="bottom"/>
          </w:tcPr>
          <w:p w14:paraId="15589E79" w14:textId="77777777" w:rsidR="000543FE" w:rsidRPr="00121C1C" w:rsidRDefault="000543FE" w:rsidP="00722665">
            <w:pPr>
              <w:jc w:val="right"/>
              <w:rPr>
                <w:sz w:val="18"/>
                <w:szCs w:val="18"/>
              </w:rPr>
            </w:pPr>
            <w:r w:rsidRPr="00121C1C">
              <w:rPr>
                <w:rFonts w:hint="eastAsia"/>
                <w:color w:val="000000"/>
                <w:sz w:val="18"/>
                <w:szCs w:val="18"/>
              </w:rPr>
              <w:t>0.17</w:t>
            </w:r>
          </w:p>
        </w:tc>
        <w:tc>
          <w:tcPr>
            <w:tcW w:w="564" w:type="pct"/>
            <w:vAlign w:val="bottom"/>
          </w:tcPr>
          <w:p w14:paraId="03C44939" w14:textId="77777777" w:rsidR="000543FE" w:rsidRPr="00121C1C" w:rsidRDefault="000543FE" w:rsidP="00722665">
            <w:pPr>
              <w:jc w:val="right"/>
              <w:rPr>
                <w:sz w:val="18"/>
                <w:szCs w:val="18"/>
              </w:rPr>
            </w:pPr>
            <w:r w:rsidRPr="00121C1C">
              <w:rPr>
                <w:rFonts w:hint="eastAsia"/>
                <w:color w:val="000000"/>
                <w:sz w:val="18"/>
                <w:szCs w:val="18"/>
              </w:rPr>
              <w:t>0.15</w:t>
            </w:r>
          </w:p>
        </w:tc>
        <w:tc>
          <w:tcPr>
            <w:tcW w:w="568" w:type="pct"/>
            <w:vAlign w:val="center"/>
          </w:tcPr>
          <w:p w14:paraId="1C39CB34" w14:textId="77777777" w:rsidR="000543FE" w:rsidRPr="00121C1C" w:rsidRDefault="000543FE" w:rsidP="00722665">
            <w:pPr>
              <w:jc w:val="right"/>
              <w:rPr>
                <w:sz w:val="18"/>
                <w:szCs w:val="18"/>
              </w:rPr>
            </w:pPr>
            <w:r w:rsidRPr="00121C1C">
              <w:rPr>
                <w:sz w:val="18"/>
                <w:szCs w:val="18"/>
              </w:rPr>
              <w:t>0.10</w:t>
            </w:r>
          </w:p>
        </w:tc>
      </w:tr>
      <w:tr w:rsidR="000543FE" w:rsidRPr="00121C1C" w14:paraId="34C4AF96" w14:textId="77777777" w:rsidTr="00722665">
        <w:tc>
          <w:tcPr>
            <w:tcW w:w="1122" w:type="pct"/>
            <w:vMerge/>
          </w:tcPr>
          <w:p w14:paraId="46C7C214" w14:textId="77777777" w:rsidR="000543FE" w:rsidRPr="00121C1C" w:rsidRDefault="000543FE" w:rsidP="00722665">
            <w:pPr>
              <w:rPr>
                <w:sz w:val="18"/>
                <w:szCs w:val="18"/>
              </w:rPr>
            </w:pPr>
          </w:p>
        </w:tc>
        <w:tc>
          <w:tcPr>
            <w:tcW w:w="472" w:type="pct"/>
          </w:tcPr>
          <w:p w14:paraId="786D4936" w14:textId="77777777" w:rsidR="000543FE" w:rsidRPr="00121C1C" w:rsidRDefault="000543FE" w:rsidP="00722665">
            <w:pPr>
              <w:rPr>
                <w:sz w:val="18"/>
                <w:szCs w:val="18"/>
              </w:rPr>
            </w:pPr>
            <w:r w:rsidRPr="00121C1C">
              <w:rPr>
                <w:sz w:val="18"/>
                <w:szCs w:val="18"/>
              </w:rPr>
              <w:t>100</w:t>
            </w:r>
          </w:p>
        </w:tc>
        <w:tc>
          <w:tcPr>
            <w:tcW w:w="564" w:type="pct"/>
            <w:vAlign w:val="center"/>
          </w:tcPr>
          <w:p w14:paraId="139E958E" w14:textId="77777777" w:rsidR="000543FE" w:rsidRPr="00121C1C" w:rsidRDefault="000543FE" w:rsidP="00722665">
            <w:pPr>
              <w:jc w:val="right"/>
              <w:rPr>
                <w:sz w:val="18"/>
                <w:szCs w:val="18"/>
              </w:rPr>
            </w:pPr>
            <w:r w:rsidRPr="00121C1C">
              <w:rPr>
                <w:sz w:val="18"/>
                <w:szCs w:val="18"/>
              </w:rPr>
              <w:t>1.00</w:t>
            </w:r>
          </w:p>
        </w:tc>
        <w:tc>
          <w:tcPr>
            <w:tcW w:w="564" w:type="pct"/>
            <w:vAlign w:val="bottom"/>
          </w:tcPr>
          <w:p w14:paraId="45DC22A8" w14:textId="77777777" w:rsidR="000543FE" w:rsidRPr="00121C1C" w:rsidRDefault="000543FE" w:rsidP="00722665">
            <w:pPr>
              <w:jc w:val="right"/>
              <w:rPr>
                <w:sz w:val="18"/>
                <w:szCs w:val="18"/>
              </w:rPr>
            </w:pPr>
            <w:r w:rsidRPr="00121C1C">
              <w:rPr>
                <w:rFonts w:hint="eastAsia"/>
                <w:color w:val="000000"/>
                <w:sz w:val="18"/>
                <w:szCs w:val="18"/>
              </w:rPr>
              <w:t>0.77</w:t>
            </w:r>
          </w:p>
        </w:tc>
        <w:tc>
          <w:tcPr>
            <w:tcW w:w="564" w:type="pct"/>
            <w:vAlign w:val="center"/>
          </w:tcPr>
          <w:p w14:paraId="292A581B" w14:textId="77777777" w:rsidR="000543FE" w:rsidRPr="00121C1C" w:rsidRDefault="000543FE" w:rsidP="00722665">
            <w:pPr>
              <w:jc w:val="right"/>
              <w:rPr>
                <w:sz w:val="18"/>
                <w:szCs w:val="18"/>
              </w:rPr>
            </w:pPr>
            <w:r w:rsidRPr="00121C1C">
              <w:rPr>
                <w:sz w:val="18"/>
                <w:szCs w:val="18"/>
              </w:rPr>
              <w:t>0.50</w:t>
            </w:r>
          </w:p>
        </w:tc>
        <w:tc>
          <w:tcPr>
            <w:tcW w:w="582" w:type="pct"/>
            <w:vAlign w:val="bottom"/>
          </w:tcPr>
          <w:p w14:paraId="5882CBD0" w14:textId="77777777" w:rsidR="000543FE" w:rsidRPr="00121C1C" w:rsidRDefault="000543FE" w:rsidP="00722665">
            <w:pPr>
              <w:jc w:val="right"/>
              <w:rPr>
                <w:sz w:val="18"/>
                <w:szCs w:val="18"/>
              </w:rPr>
            </w:pPr>
            <w:r w:rsidRPr="00121C1C">
              <w:rPr>
                <w:rFonts w:hint="eastAsia"/>
                <w:color w:val="000000"/>
                <w:sz w:val="18"/>
                <w:szCs w:val="18"/>
              </w:rPr>
              <w:t>0.33</w:t>
            </w:r>
          </w:p>
        </w:tc>
        <w:tc>
          <w:tcPr>
            <w:tcW w:w="564" w:type="pct"/>
            <w:vAlign w:val="bottom"/>
          </w:tcPr>
          <w:p w14:paraId="2CD1D9C2" w14:textId="77777777" w:rsidR="000543FE" w:rsidRPr="00121C1C" w:rsidRDefault="000543FE" w:rsidP="00722665">
            <w:pPr>
              <w:jc w:val="right"/>
              <w:rPr>
                <w:sz w:val="18"/>
                <w:szCs w:val="18"/>
              </w:rPr>
            </w:pPr>
            <w:r w:rsidRPr="00121C1C">
              <w:rPr>
                <w:rFonts w:hint="eastAsia"/>
                <w:color w:val="000000"/>
                <w:sz w:val="18"/>
                <w:szCs w:val="18"/>
              </w:rPr>
              <w:t>0.31</w:t>
            </w:r>
          </w:p>
        </w:tc>
        <w:tc>
          <w:tcPr>
            <w:tcW w:w="568" w:type="pct"/>
            <w:vAlign w:val="center"/>
          </w:tcPr>
          <w:p w14:paraId="099BB03C" w14:textId="77777777" w:rsidR="000543FE" w:rsidRPr="00121C1C" w:rsidRDefault="000543FE" w:rsidP="00722665">
            <w:pPr>
              <w:jc w:val="right"/>
              <w:rPr>
                <w:sz w:val="18"/>
                <w:szCs w:val="18"/>
              </w:rPr>
            </w:pPr>
            <w:r w:rsidRPr="00121C1C">
              <w:rPr>
                <w:sz w:val="18"/>
                <w:szCs w:val="18"/>
              </w:rPr>
              <w:t>0.20</w:t>
            </w:r>
          </w:p>
        </w:tc>
      </w:tr>
      <w:tr w:rsidR="000543FE" w:rsidRPr="00121C1C" w14:paraId="6B651287" w14:textId="77777777" w:rsidTr="00722665">
        <w:tc>
          <w:tcPr>
            <w:tcW w:w="1122" w:type="pct"/>
            <w:vMerge/>
          </w:tcPr>
          <w:p w14:paraId="7890D366" w14:textId="77777777" w:rsidR="000543FE" w:rsidRPr="00121C1C" w:rsidRDefault="000543FE" w:rsidP="00722665">
            <w:pPr>
              <w:rPr>
                <w:sz w:val="18"/>
                <w:szCs w:val="18"/>
              </w:rPr>
            </w:pPr>
          </w:p>
        </w:tc>
        <w:tc>
          <w:tcPr>
            <w:tcW w:w="472" w:type="pct"/>
          </w:tcPr>
          <w:p w14:paraId="670ADBF3" w14:textId="77777777" w:rsidR="000543FE" w:rsidRPr="00121C1C" w:rsidRDefault="000543FE" w:rsidP="00722665">
            <w:pPr>
              <w:rPr>
                <w:sz w:val="18"/>
                <w:szCs w:val="18"/>
              </w:rPr>
            </w:pPr>
            <w:r w:rsidRPr="00121C1C">
              <w:rPr>
                <w:sz w:val="18"/>
                <w:szCs w:val="18"/>
              </w:rPr>
              <w:t>200</w:t>
            </w:r>
          </w:p>
        </w:tc>
        <w:tc>
          <w:tcPr>
            <w:tcW w:w="564" w:type="pct"/>
            <w:vAlign w:val="center"/>
          </w:tcPr>
          <w:p w14:paraId="26A4E8B3" w14:textId="77777777" w:rsidR="000543FE" w:rsidRPr="00121C1C" w:rsidRDefault="000543FE" w:rsidP="00722665">
            <w:pPr>
              <w:jc w:val="right"/>
              <w:rPr>
                <w:sz w:val="18"/>
                <w:szCs w:val="18"/>
              </w:rPr>
            </w:pPr>
            <w:r w:rsidRPr="00121C1C">
              <w:rPr>
                <w:sz w:val="18"/>
                <w:szCs w:val="18"/>
              </w:rPr>
              <w:t>2.00</w:t>
            </w:r>
          </w:p>
        </w:tc>
        <w:tc>
          <w:tcPr>
            <w:tcW w:w="564" w:type="pct"/>
            <w:vAlign w:val="bottom"/>
          </w:tcPr>
          <w:p w14:paraId="1F7FD254" w14:textId="77777777" w:rsidR="000543FE" w:rsidRPr="00121C1C" w:rsidRDefault="000543FE" w:rsidP="00722665">
            <w:pPr>
              <w:jc w:val="right"/>
              <w:rPr>
                <w:sz w:val="18"/>
                <w:szCs w:val="18"/>
              </w:rPr>
            </w:pPr>
            <w:r w:rsidRPr="00121C1C">
              <w:rPr>
                <w:rFonts w:hint="eastAsia"/>
                <w:color w:val="000000"/>
                <w:sz w:val="18"/>
                <w:szCs w:val="18"/>
              </w:rPr>
              <w:t>1.55</w:t>
            </w:r>
          </w:p>
        </w:tc>
        <w:tc>
          <w:tcPr>
            <w:tcW w:w="564" w:type="pct"/>
            <w:vAlign w:val="center"/>
          </w:tcPr>
          <w:p w14:paraId="05B495F2" w14:textId="77777777" w:rsidR="000543FE" w:rsidRPr="00121C1C" w:rsidRDefault="000543FE" w:rsidP="00722665">
            <w:pPr>
              <w:jc w:val="right"/>
              <w:rPr>
                <w:sz w:val="18"/>
                <w:szCs w:val="18"/>
              </w:rPr>
            </w:pPr>
            <w:r w:rsidRPr="00121C1C">
              <w:rPr>
                <w:sz w:val="18"/>
                <w:szCs w:val="18"/>
              </w:rPr>
              <w:t>1.00</w:t>
            </w:r>
          </w:p>
        </w:tc>
        <w:tc>
          <w:tcPr>
            <w:tcW w:w="582" w:type="pct"/>
            <w:vAlign w:val="bottom"/>
          </w:tcPr>
          <w:p w14:paraId="7BE90594" w14:textId="77777777" w:rsidR="000543FE" w:rsidRPr="00121C1C" w:rsidRDefault="000543FE" w:rsidP="00722665">
            <w:pPr>
              <w:jc w:val="right"/>
              <w:rPr>
                <w:sz w:val="18"/>
                <w:szCs w:val="18"/>
              </w:rPr>
            </w:pPr>
            <w:r w:rsidRPr="00121C1C">
              <w:rPr>
                <w:rFonts w:hint="eastAsia"/>
                <w:color w:val="000000"/>
                <w:sz w:val="18"/>
                <w:szCs w:val="18"/>
              </w:rPr>
              <w:t>0.67</w:t>
            </w:r>
          </w:p>
        </w:tc>
        <w:tc>
          <w:tcPr>
            <w:tcW w:w="564" w:type="pct"/>
            <w:vAlign w:val="bottom"/>
          </w:tcPr>
          <w:p w14:paraId="35880676" w14:textId="77777777" w:rsidR="000543FE" w:rsidRPr="00121C1C" w:rsidRDefault="000543FE" w:rsidP="00722665">
            <w:pPr>
              <w:jc w:val="right"/>
              <w:rPr>
                <w:sz w:val="18"/>
                <w:szCs w:val="18"/>
              </w:rPr>
            </w:pPr>
            <w:r w:rsidRPr="00121C1C">
              <w:rPr>
                <w:rFonts w:hint="eastAsia"/>
                <w:color w:val="000000"/>
                <w:sz w:val="18"/>
                <w:szCs w:val="18"/>
              </w:rPr>
              <w:t>0.62</w:t>
            </w:r>
          </w:p>
        </w:tc>
        <w:tc>
          <w:tcPr>
            <w:tcW w:w="568" w:type="pct"/>
            <w:vAlign w:val="center"/>
          </w:tcPr>
          <w:p w14:paraId="3E6CB4E9" w14:textId="77777777" w:rsidR="000543FE" w:rsidRPr="00121C1C" w:rsidRDefault="000543FE" w:rsidP="00722665">
            <w:pPr>
              <w:jc w:val="right"/>
              <w:rPr>
                <w:sz w:val="18"/>
                <w:szCs w:val="18"/>
              </w:rPr>
            </w:pPr>
            <w:r w:rsidRPr="00121C1C">
              <w:rPr>
                <w:sz w:val="18"/>
                <w:szCs w:val="18"/>
              </w:rPr>
              <w:t>0.40</w:t>
            </w:r>
          </w:p>
        </w:tc>
      </w:tr>
      <w:tr w:rsidR="000543FE" w:rsidRPr="00121C1C" w14:paraId="255F5EDA" w14:textId="77777777" w:rsidTr="00722665">
        <w:tc>
          <w:tcPr>
            <w:tcW w:w="1122" w:type="pct"/>
            <w:vMerge/>
          </w:tcPr>
          <w:p w14:paraId="1F84B49D" w14:textId="77777777" w:rsidR="000543FE" w:rsidRPr="00121C1C" w:rsidRDefault="000543FE" w:rsidP="00722665">
            <w:pPr>
              <w:rPr>
                <w:sz w:val="18"/>
                <w:szCs w:val="18"/>
              </w:rPr>
            </w:pPr>
          </w:p>
        </w:tc>
        <w:tc>
          <w:tcPr>
            <w:tcW w:w="472" w:type="pct"/>
          </w:tcPr>
          <w:p w14:paraId="4111B058" w14:textId="77777777" w:rsidR="000543FE" w:rsidRPr="00121C1C" w:rsidRDefault="000543FE" w:rsidP="00722665">
            <w:pPr>
              <w:rPr>
                <w:sz w:val="18"/>
                <w:szCs w:val="18"/>
              </w:rPr>
            </w:pPr>
            <w:r w:rsidRPr="00121C1C">
              <w:rPr>
                <w:sz w:val="18"/>
                <w:szCs w:val="18"/>
              </w:rPr>
              <w:t>500</w:t>
            </w:r>
          </w:p>
        </w:tc>
        <w:tc>
          <w:tcPr>
            <w:tcW w:w="564" w:type="pct"/>
            <w:vAlign w:val="center"/>
          </w:tcPr>
          <w:p w14:paraId="5EA6FA7B" w14:textId="77777777" w:rsidR="000543FE" w:rsidRPr="00121C1C" w:rsidRDefault="000543FE" w:rsidP="00722665">
            <w:pPr>
              <w:jc w:val="right"/>
              <w:rPr>
                <w:sz w:val="18"/>
                <w:szCs w:val="18"/>
              </w:rPr>
            </w:pPr>
            <w:r w:rsidRPr="00121C1C">
              <w:rPr>
                <w:sz w:val="18"/>
                <w:szCs w:val="18"/>
              </w:rPr>
              <w:t>5.00</w:t>
            </w:r>
          </w:p>
        </w:tc>
        <w:tc>
          <w:tcPr>
            <w:tcW w:w="564" w:type="pct"/>
            <w:vAlign w:val="bottom"/>
          </w:tcPr>
          <w:p w14:paraId="46E42AB5" w14:textId="77777777" w:rsidR="000543FE" w:rsidRPr="00121C1C" w:rsidRDefault="000543FE" w:rsidP="00722665">
            <w:pPr>
              <w:jc w:val="right"/>
              <w:rPr>
                <w:sz w:val="18"/>
                <w:szCs w:val="18"/>
              </w:rPr>
            </w:pPr>
            <w:r w:rsidRPr="00121C1C">
              <w:rPr>
                <w:rFonts w:hint="eastAsia"/>
                <w:color w:val="000000"/>
                <w:sz w:val="18"/>
                <w:szCs w:val="18"/>
              </w:rPr>
              <w:t>3.87</w:t>
            </w:r>
          </w:p>
        </w:tc>
        <w:tc>
          <w:tcPr>
            <w:tcW w:w="564" w:type="pct"/>
            <w:vAlign w:val="center"/>
          </w:tcPr>
          <w:p w14:paraId="3A473C6B" w14:textId="77777777" w:rsidR="000543FE" w:rsidRPr="00121C1C" w:rsidRDefault="000543FE" w:rsidP="00722665">
            <w:pPr>
              <w:jc w:val="right"/>
              <w:rPr>
                <w:sz w:val="18"/>
                <w:szCs w:val="18"/>
              </w:rPr>
            </w:pPr>
            <w:r w:rsidRPr="00121C1C">
              <w:rPr>
                <w:sz w:val="18"/>
                <w:szCs w:val="18"/>
              </w:rPr>
              <w:t>2.50</w:t>
            </w:r>
          </w:p>
        </w:tc>
        <w:tc>
          <w:tcPr>
            <w:tcW w:w="582" w:type="pct"/>
            <w:vAlign w:val="bottom"/>
          </w:tcPr>
          <w:p w14:paraId="59E5A677" w14:textId="77777777" w:rsidR="000543FE" w:rsidRPr="00121C1C" w:rsidRDefault="000543FE" w:rsidP="00722665">
            <w:pPr>
              <w:jc w:val="right"/>
              <w:rPr>
                <w:sz w:val="18"/>
                <w:szCs w:val="18"/>
              </w:rPr>
            </w:pPr>
            <w:r w:rsidRPr="00121C1C">
              <w:rPr>
                <w:rFonts w:hint="eastAsia"/>
                <w:color w:val="000000"/>
                <w:sz w:val="18"/>
                <w:szCs w:val="18"/>
              </w:rPr>
              <w:t>1.67</w:t>
            </w:r>
          </w:p>
        </w:tc>
        <w:tc>
          <w:tcPr>
            <w:tcW w:w="564" w:type="pct"/>
            <w:vAlign w:val="bottom"/>
          </w:tcPr>
          <w:p w14:paraId="5A301C03" w14:textId="77777777" w:rsidR="000543FE" w:rsidRPr="00121C1C" w:rsidRDefault="000543FE" w:rsidP="00722665">
            <w:pPr>
              <w:jc w:val="right"/>
              <w:rPr>
                <w:sz w:val="18"/>
                <w:szCs w:val="18"/>
              </w:rPr>
            </w:pPr>
            <w:r w:rsidRPr="00121C1C">
              <w:rPr>
                <w:rFonts w:hint="eastAsia"/>
                <w:color w:val="000000"/>
                <w:sz w:val="18"/>
                <w:szCs w:val="18"/>
              </w:rPr>
              <w:t>1.55</w:t>
            </w:r>
          </w:p>
        </w:tc>
        <w:tc>
          <w:tcPr>
            <w:tcW w:w="568" w:type="pct"/>
            <w:vAlign w:val="center"/>
          </w:tcPr>
          <w:p w14:paraId="02AF97CE" w14:textId="77777777" w:rsidR="000543FE" w:rsidRPr="00121C1C" w:rsidRDefault="000543FE" w:rsidP="00722665">
            <w:pPr>
              <w:jc w:val="right"/>
              <w:rPr>
                <w:sz w:val="18"/>
                <w:szCs w:val="18"/>
              </w:rPr>
            </w:pPr>
            <w:r w:rsidRPr="00121C1C">
              <w:rPr>
                <w:sz w:val="18"/>
                <w:szCs w:val="18"/>
              </w:rPr>
              <w:t>1.00</w:t>
            </w:r>
          </w:p>
        </w:tc>
      </w:tr>
      <w:tr w:rsidR="000543FE" w:rsidRPr="00121C1C" w14:paraId="16C643E6" w14:textId="77777777" w:rsidTr="00722665">
        <w:tc>
          <w:tcPr>
            <w:tcW w:w="1122" w:type="pct"/>
            <w:vMerge/>
          </w:tcPr>
          <w:p w14:paraId="56C6A0B2" w14:textId="77777777" w:rsidR="000543FE" w:rsidRPr="00121C1C" w:rsidRDefault="000543FE" w:rsidP="00722665">
            <w:pPr>
              <w:rPr>
                <w:sz w:val="18"/>
                <w:szCs w:val="18"/>
              </w:rPr>
            </w:pPr>
          </w:p>
        </w:tc>
        <w:tc>
          <w:tcPr>
            <w:tcW w:w="472" w:type="pct"/>
          </w:tcPr>
          <w:p w14:paraId="1D0FB2CB" w14:textId="77777777" w:rsidR="000543FE" w:rsidRPr="00121C1C" w:rsidRDefault="000543FE" w:rsidP="00722665">
            <w:pPr>
              <w:rPr>
                <w:sz w:val="18"/>
                <w:szCs w:val="18"/>
              </w:rPr>
            </w:pPr>
            <w:r w:rsidRPr="00121C1C">
              <w:rPr>
                <w:rFonts w:hint="eastAsia"/>
                <w:sz w:val="18"/>
                <w:szCs w:val="18"/>
              </w:rPr>
              <w:t>6</w:t>
            </w:r>
            <w:r w:rsidRPr="00121C1C">
              <w:rPr>
                <w:sz w:val="18"/>
                <w:szCs w:val="18"/>
              </w:rPr>
              <w:t>50</w:t>
            </w:r>
          </w:p>
        </w:tc>
        <w:tc>
          <w:tcPr>
            <w:tcW w:w="564" w:type="pct"/>
            <w:vAlign w:val="bottom"/>
          </w:tcPr>
          <w:p w14:paraId="7E4ADF52" w14:textId="77777777" w:rsidR="000543FE" w:rsidRPr="00121C1C" w:rsidRDefault="000543FE" w:rsidP="00722665">
            <w:pPr>
              <w:jc w:val="right"/>
              <w:rPr>
                <w:sz w:val="18"/>
                <w:szCs w:val="18"/>
              </w:rPr>
            </w:pPr>
            <w:r w:rsidRPr="00121C1C">
              <w:rPr>
                <w:rFonts w:hint="eastAsia"/>
                <w:color w:val="000000"/>
                <w:sz w:val="18"/>
                <w:szCs w:val="18"/>
              </w:rPr>
              <w:t>6.50</w:t>
            </w:r>
          </w:p>
        </w:tc>
        <w:tc>
          <w:tcPr>
            <w:tcW w:w="564" w:type="pct"/>
            <w:vAlign w:val="bottom"/>
          </w:tcPr>
          <w:p w14:paraId="19665B3B" w14:textId="77777777" w:rsidR="000543FE" w:rsidRPr="00121C1C" w:rsidRDefault="000543FE" w:rsidP="00722665">
            <w:pPr>
              <w:jc w:val="right"/>
              <w:rPr>
                <w:color w:val="000000"/>
                <w:sz w:val="18"/>
                <w:szCs w:val="18"/>
              </w:rPr>
            </w:pPr>
            <w:r w:rsidRPr="00121C1C">
              <w:rPr>
                <w:rFonts w:hint="eastAsia"/>
                <w:color w:val="000000"/>
                <w:sz w:val="18"/>
                <w:szCs w:val="18"/>
              </w:rPr>
              <w:t>5.03</w:t>
            </w:r>
          </w:p>
        </w:tc>
        <w:tc>
          <w:tcPr>
            <w:tcW w:w="564" w:type="pct"/>
            <w:vAlign w:val="bottom"/>
          </w:tcPr>
          <w:p w14:paraId="06C6A574" w14:textId="77777777" w:rsidR="000543FE" w:rsidRPr="00121C1C" w:rsidRDefault="000543FE" w:rsidP="00722665">
            <w:pPr>
              <w:jc w:val="right"/>
              <w:rPr>
                <w:sz w:val="18"/>
                <w:szCs w:val="18"/>
              </w:rPr>
            </w:pPr>
            <w:r w:rsidRPr="00121C1C">
              <w:rPr>
                <w:rFonts w:hint="eastAsia"/>
                <w:color w:val="000000"/>
                <w:sz w:val="18"/>
                <w:szCs w:val="18"/>
              </w:rPr>
              <w:t>3.25</w:t>
            </w:r>
          </w:p>
        </w:tc>
        <w:tc>
          <w:tcPr>
            <w:tcW w:w="582" w:type="pct"/>
            <w:vAlign w:val="bottom"/>
          </w:tcPr>
          <w:p w14:paraId="0DC5FD67" w14:textId="77777777" w:rsidR="000543FE" w:rsidRPr="00121C1C" w:rsidRDefault="000543FE" w:rsidP="00722665">
            <w:pPr>
              <w:jc w:val="right"/>
              <w:rPr>
                <w:color w:val="000000"/>
                <w:sz w:val="18"/>
                <w:szCs w:val="18"/>
              </w:rPr>
            </w:pPr>
            <w:r w:rsidRPr="00121C1C">
              <w:rPr>
                <w:rFonts w:hint="eastAsia"/>
                <w:color w:val="000000"/>
                <w:sz w:val="18"/>
                <w:szCs w:val="18"/>
              </w:rPr>
              <w:t>2.17</w:t>
            </w:r>
          </w:p>
        </w:tc>
        <w:tc>
          <w:tcPr>
            <w:tcW w:w="564" w:type="pct"/>
            <w:vAlign w:val="bottom"/>
          </w:tcPr>
          <w:p w14:paraId="7F971CF9" w14:textId="77777777" w:rsidR="000543FE" w:rsidRPr="00121C1C" w:rsidRDefault="000543FE" w:rsidP="00722665">
            <w:pPr>
              <w:jc w:val="right"/>
              <w:rPr>
                <w:color w:val="000000"/>
                <w:sz w:val="18"/>
                <w:szCs w:val="18"/>
              </w:rPr>
            </w:pPr>
            <w:r w:rsidRPr="00121C1C">
              <w:rPr>
                <w:rFonts w:hint="eastAsia"/>
                <w:color w:val="000000"/>
                <w:sz w:val="18"/>
                <w:szCs w:val="18"/>
              </w:rPr>
              <w:t>2.01</w:t>
            </w:r>
          </w:p>
        </w:tc>
        <w:tc>
          <w:tcPr>
            <w:tcW w:w="568" w:type="pct"/>
            <w:vAlign w:val="bottom"/>
          </w:tcPr>
          <w:p w14:paraId="633F8460" w14:textId="77777777" w:rsidR="000543FE" w:rsidRPr="00121C1C" w:rsidRDefault="000543FE" w:rsidP="00722665">
            <w:pPr>
              <w:jc w:val="right"/>
              <w:rPr>
                <w:sz w:val="18"/>
                <w:szCs w:val="18"/>
              </w:rPr>
            </w:pPr>
            <w:r w:rsidRPr="00121C1C">
              <w:rPr>
                <w:rFonts w:hint="eastAsia"/>
                <w:color w:val="000000"/>
                <w:sz w:val="18"/>
                <w:szCs w:val="18"/>
              </w:rPr>
              <w:t>1.30</w:t>
            </w:r>
          </w:p>
        </w:tc>
      </w:tr>
    </w:tbl>
    <w:p w14:paraId="4F278D0B" w14:textId="15EFCECA" w:rsidR="000543FE" w:rsidRDefault="000543FE" w:rsidP="00D40F94">
      <w:pPr>
        <w:pStyle w:val="ac"/>
        <w:spacing w:beforeLines="50" w:before="156"/>
        <w:ind w:firstLine="480"/>
      </w:pPr>
      <w:r>
        <w:rPr>
          <w:rFonts w:hint="eastAsia"/>
        </w:rPr>
        <w:t>根据经验，底面面积为</w:t>
      </w:r>
      <w:r>
        <w:t>200</w:t>
      </w:r>
      <w:r>
        <w:rPr>
          <w:rFonts w:hint="eastAsia"/>
        </w:rPr>
        <w:t>mm</w:t>
      </w:r>
      <w:r w:rsidRPr="008367F6">
        <w:rPr>
          <w:vertAlign w:val="superscript"/>
        </w:rPr>
        <w:t>2</w:t>
      </w:r>
      <w:r>
        <w:rPr>
          <w:rFonts w:hint="eastAsia"/>
        </w:rPr>
        <w:t>的锥头可以测量的土壤圆锥指数基本</w:t>
      </w:r>
      <w:proofErr w:type="gramStart"/>
      <w:r>
        <w:rPr>
          <w:rFonts w:hint="eastAsia"/>
        </w:rPr>
        <w:t>对应适耕土壤</w:t>
      </w:r>
      <w:proofErr w:type="gramEnd"/>
      <w:r>
        <w:rPr>
          <w:rFonts w:hint="eastAsia"/>
        </w:rPr>
        <w:t>硬度范围。对于硬土，可选择底面面积为</w:t>
      </w:r>
      <w:r>
        <w:rPr>
          <w:rFonts w:hint="eastAsia"/>
        </w:rPr>
        <w:t>1</w:t>
      </w:r>
      <w:r>
        <w:t>29</w:t>
      </w:r>
      <w:r>
        <w:rPr>
          <w:rFonts w:hint="eastAsia"/>
        </w:rPr>
        <w:t>mm</w:t>
      </w:r>
      <w:r w:rsidRPr="008367F6">
        <w:rPr>
          <w:vertAlign w:val="superscript"/>
        </w:rPr>
        <w:t>2</w:t>
      </w:r>
      <w:r>
        <w:rPr>
          <w:rFonts w:hint="eastAsia"/>
        </w:rPr>
        <w:t>的锥头，对于软土，</w:t>
      </w:r>
      <w:r w:rsidRPr="004C1539">
        <w:rPr>
          <w:rFonts w:hint="eastAsia"/>
        </w:rPr>
        <w:t>可选择底面面积为</w:t>
      </w:r>
      <w:r w:rsidRPr="004C1539">
        <w:t>3</w:t>
      </w:r>
      <w:r>
        <w:t>23</w:t>
      </w:r>
      <w:r w:rsidRPr="004C1539">
        <w:t>mm</w:t>
      </w:r>
      <w:r w:rsidRPr="004C1539">
        <w:rPr>
          <w:vertAlign w:val="superscript"/>
        </w:rPr>
        <w:t>2</w:t>
      </w:r>
      <w:r w:rsidRPr="004C1539">
        <w:t>的锥头</w:t>
      </w:r>
      <w:r>
        <w:rPr>
          <w:rFonts w:hint="eastAsia"/>
        </w:rPr>
        <w:t>。超过</w:t>
      </w:r>
      <w:r>
        <w:rPr>
          <w:rFonts w:hint="eastAsia"/>
        </w:rPr>
        <w:t>CI5</w:t>
      </w:r>
      <w:r>
        <w:t>.0</w:t>
      </w:r>
      <w:r>
        <w:rPr>
          <w:rFonts w:hint="eastAsia"/>
        </w:rPr>
        <w:t>的土壤，单人体重不能很好</w:t>
      </w:r>
      <w:proofErr w:type="gramStart"/>
      <w:r>
        <w:rPr>
          <w:rFonts w:hint="eastAsia"/>
        </w:rPr>
        <w:t>平衡反</w:t>
      </w:r>
      <w:proofErr w:type="gramEnd"/>
      <w:r>
        <w:rPr>
          <w:rFonts w:hint="eastAsia"/>
        </w:rPr>
        <w:t>力，操作时需要多人配合或增加辅助装置。</w:t>
      </w:r>
    </w:p>
    <w:p w14:paraId="2BDCD41B" w14:textId="5F037178" w:rsidR="00D17D46" w:rsidRDefault="00D17D46" w:rsidP="00D40F94">
      <w:pPr>
        <w:pStyle w:val="ac"/>
        <w:spacing w:beforeLines="50" w:before="156"/>
        <w:ind w:firstLine="480"/>
      </w:pPr>
      <w:r>
        <w:rPr>
          <w:rFonts w:hint="eastAsia"/>
        </w:rPr>
        <w:t>有研究标明，土壤圆锥指数与圆锥底面积成反比。因此，也有必要对圆锥底面积做出统一规定。</w:t>
      </w:r>
    </w:p>
    <w:p w14:paraId="25405B16" w14:textId="77777777" w:rsidR="000543FE" w:rsidRDefault="000543FE" w:rsidP="00D40F94">
      <w:pPr>
        <w:pStyle w:val="ac"/>
        <w:ind w:firstLine="480"/>
      </w:pPr>
      <w:r>
        <w:rPr>
          <w:rFonts w:hint="eastAsia"/>
        </w:rPr>
        <w:t>本标准规定了</w:t>
      </w:r>
      <w:r>
        <w:t>2</w:t>
      </w:r>
      <w:r>
        <w:rPr>
          <w:rFonts w:hint="eastAsia"/>
        </w:rPr>
        <w:t>种锥头规格，</w:t>
      </w:r>
      <w:r w:rsidRPr="00C75A9A">
        <w:t>129mm</w:t>
      </w:r>
      <w:r w:rsidRPr="00C75A9A">
        <w:rPr>
          <w:vertAlign w:val="superscript"/>
        </w:rPr>
        <w:t>2</w:t>
      </w:r>
      <w:r w:rsidRPr="00C75A9A">
        <w:rPr>
          <w:rFonts w:hint="eastAsia"/>
        </w:rPr>
        <w:t>的锥头测量的圆锥指数最大约</w:t>
      </w:r>
      <w:r>
        <w:rPr>
          <w:rFonts w:hint="eastAsia"/>
        </w:rPr>
        <w:t>CI</w:t>
      </w:r>
      <w:r>
        <w:t>5</w:t>
      </w:r>
      <w:r>
        <w:rPr>
          <w:rFonts w:hint="eastAsia"/>
        </w:rPr>
        <w:t>，</w:t>
      </w:r>
      <w:r w:rsidRPr="004C1539">
        <w:t>3</w:t>
      </w:r>
      <w:r>
        <w:t>23</w:t>
      </w:r>
      <w:r w:rsidRPr="004C1539">
        <w:t>mm</w:t>
      </w:r>
      <w:r w:rsidRPr="004C1539">
        <w:rPr>
          <w:vertAlign w:val="superscript"/>
        </w:rPr>
        <w:t>2</w:t>
      </w:r>
      <w:r w:rsidRPr="00C75A9A">
        <w:t>的锥头</w:t>
      </w:r>
      <w:r>
        <w:rPr>
          <w:rFonts w:hint="eastAsia"/>
        </w:rPr>
        <w:t>测量的</w:t>
      </w:r>
      <w:r w:rsidRPr="00C75A9A">
        <w:rPr>
          <w:rFonts w:hint="eastAsia"/>
        </w:rPr>
        <w:t>圆锥指数最大约</w:t>
      </w:r>
      <w:r>
        <w:rPr>
          <w:rFonts w:hint="eastAsia"/>
        </w:rPr>
        <w:t>CI</w:t>
      </w:r>
      <w:r w:rsidRPr="00C75A9A">
        <w:t>2</w:t>
      </w:r>
      <w:r>
        <w:rPr>
          <w:rFonts w:hint="eastAsia"/>
        </w:rPr>
        <w:t>，以适应大多数农业生产土壤条件。</w:t>
      </w:r>
    </w:p>
    <w:p w14:paraId="30F31390" w14:textId="444F99B6" w:rsidR="000543FE" w:rsidRDefault="000543FE" w:rsidP="000543FE">
      <w:pPr>
        <w:pStyle w:val="3"/>
        <w:spacing w:after="156"/>
      </w:pPr>
      <w:r>
        <w:rPr>
          <w:rFonts w:hint="eastAsia"/>
        </w:rPr>
        <w:t>关于圆锥角的确定</w:t>
      </w:r>
    </w:p>
    <w:p w14:paraId="78425A78" w14:textId="77777777" w:rsidR="000543FE" w:rsidRDefault="000543FE" w:rsidP="00D40F94">
      <w:pPr>
        <w:pStyle w:val="ac"/>
        <w:ind w:firstLine="480"/>
      </w:pPr>
      <w:r>
        <w:rPr>
          <w:rFonts w:hint="eastAsia"/>
        </w:rPr>
        <w:t>通过实验发现，当锥头达到一定大小</w:t>
      </w:r>
      <w:proofErr w:type="gramStart"/>
      <w:r>
        <w:rPr>
          <w:rFonts w:hint="eastAsia"/>
        </w:rPr>
        <w:t>的钝锥以后</w:t>
      </w:r>
      <w:proofErr w:type="gramEnd"/>
      <w:r>
        <w:rPr>
          <w:rFonts w:hint="eastAsia"/>
        </w:rPr>
        <w:t>，不论锥面形状如何，是否对称，是哪种土壤，也不论贯</w:t>
      </w:r>
      <w:proofErr w:type="gramStart"/>
      <w:r>
        <w:rPr>
          <w:rFonts w:hint="eastAsia"/>
        </w:rPr>
        <w:t>入方向</w:t>
      </w:r>
      <w:proofErr w:type="gramEnd"/>
      <w:r>
        <w:rPr>
          <w:rFonts w:hint="eastAsia"/>
        </w:rPr>
        <w:t>是铅锤、水平或倾斜，在贯入锥头下面都将产生形状相差不大的土核，形成压头的一部分，与锥头一起贯入，如图</w:t>
      </w:r>
      <w:r>
        <w:rPr>
          <w:rFonts w:hint="eastAsia"/>
        </w:rPr>
        <w:t>1</w:t>
      </w:r>
      <w:r>
        <w:rPr>
          <w:rFonts w:hint="eastAsia"/>
        </w:rPr>
        <w:t>所示。这时，</w:t>
      </w:r>
      <w:proofErr w:type="gramStart"/>
      <w:r>
        <w:rPr>
          <w:rFonts w:hint="eastAsia"/>
        </w:rPr>
        <w:t>土核与</w:t>
      </w:r>
      <w:proofErr w:type="gramEnd"/>
      <w:r>
        <w:rPr>
          <w:rFonts w:hint="eastAsia"/>
        </w:rPr>
        <w:t>土壤间相对滑动，产生的是土壤——土壤间的摩擦阻力。</w:t>
      </w:r>
      <w:proofErr w:type="gramStart"/>
      <w:r>
        <w:rPr>
          <w:rFonts w:hint="eastAsia"/>
        </w:rPr>
        <w:t>土核的形状与锥头锥</w:t>
      </w:r>
      <w:proofErr w:type="gramEnd"/>
      <w:r>
        <w:rPr>
          <w:rFonts w:hint="eastAsia"/>
        </w:rPr>
        <w:t>角和表面粗糙度以及土壤特性有关。当锥头成尖锥，锥角小于</w:t>
      </w:r>
      <w:r>
        <w:rPr>
          <w:rFonts w:hint="eastAsia"/>
        </w:rPr>
        <w:t>5</w:t>
      </w:r>
      <w:r>
        <w:t>0</w:t>
      </w:r>
      <w:r>
        <w:rPr>
          <w:rFonts w:hint="eastAsia"/>
        </w:rPr>
        <w:t>°</w:t>
      </w:r>
      <w:r>
        <w:t>~60</w:t>
      </w:r>
      <w:r>
        <w:rPr>
          <w:rFonts w:hint="eastAsia"/>
        </w:rPr>
        <w:t>°时，无土核产生，锥头锥面与土壤之间相对滑动，产生的是金属与土壤之间的摩擦阻力。</w:t>
      </w:r>
    </w:p>
    <w:p w14:paraId="2495A1A9" w14:textId="77777777" w:rsidR="000543FE" w:rsidRDefault="000543FE" w:rsidP="000543FE">
      <w:pPr>
        <w:keepNext/>
        <w:ind w:firstLineChars="200" w:firstLine="420"/>
        <w:jc w:val="center"/>
      </w:pPr>
      <w:r>
        <w:rPr>
          <w:noProof/>
        </w:rPr>
        <w:drawing>
          <wp:inline distT="0" distB="0" distL="0" distR="0" wp14:anchorId="230895D0" wp14:editId="1B680210">
            <wp:extent cx="4320000" cy="1519229"/>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000" cy="1519229"/>
                    </a:xfrm>
                    <a:prstGeom prst="rect">
                      <a:avLst/>
                    </a:prstGeom>
                  </pic:spPr>
                </pic:pic>
              </a:graphicData>
            </a:graphic>
          </wp:inline>
        </w:drawing>
      </w:r>
    </w:p>
    <w:p w14:paraId="1B6791CF" w14:textId="77777777" w:rsidR="000543FE" w:rsidRDefault="000543FE" w:rsidP="000543FE">
      <w:pPr>
        <w:pStyle w:val="a9"/>
        <w:jc w:val="center"/>
      </w:pPr>
      <w:r>
        <w:t>图</w:t>
      </w:r>
      <w:r>
        <w:t xml:space="preserve"> </w:t>
      </w:r>
      <w:r>
        <w:fldChar w:fldCharType="begin"/>
      </w:r>
      <w:r>
        <w:instrText xml:space="preserve"> SEQ </w:instrText>
      </w:r>
      <w:r>
        <w:instrText>图</w:instrText>
      </w:r>
      <w:r>
        <w:instrText xml:space="preserve"> \* ARABIC </w:instrText>
      </w:r>
      <w:r>
        <w:fldChar w:fldCharType="separate"/>
      </w:r>
      <w:r>
        <w:rPr>
          <w:noProof/>
        </w:rPr>
        <w:t>1</w:t>
      </w:r>
      <w:r>
        <w:fldChar w:fldCharType="end"/>
      </w:r>
      <w:r>
        <w:t xml:space="preserve">  </w:t>
      </w:r>
      <w:r>
        <w:rPr>
          <w:rFonts w:hint="eastAsia"/>
        </w:rPr>
        <w:t>各种形状锥头下形成的土核</w:t>
      </w:r>
    </w:p>
    <w:p w14:paraId="6F517BA0" w14:textId="0C5A25F5" w:rsidR="000543FE" w:rsidRPr="00D544E8" w:rsidRDefault="000543FE" w:rsidP="00D40F94">
      <w:pPr>
        <w:pStyle w:val="ac"/>
        <w:ind w:firstLine="480"/>
      </w:pPr>
      <w:r>
        <w:rPr>
          <w:rFonts w:hint="eastAsia"/>
        </w:rPr>
        <w:t>因此，本标准拟将</w:t>
      </w:r>
      <w:r w:rsidR="00B7243A">
        <w:rPr>
          <w:rFonts w:hint="eastAsia"/>
        </w:rPr>
        <w:t>圆</w:t>
      </w:r>
      <w:r>
        <w:rPr>
          <w:rFonts w:hint="eastAsia"/>
        </w:rPr>
        <w:t>锥</w:t>
      </w:r>
      <w:proofErr w:type="gramStart"/>
      <w:r>
        <w:rPr>
          <w:rFonts w:hint="eastAsia"/>
        </w:rPr>
        <w:t>角</w:t>
      </w:r>
      <w:r w:rsidR="00B7243A">
        <w:rPr>
          <w:rFonts w:hint="eastAsia"/>
        </w:rPr>
        <w:t>确</w:t>
      </w:r>
      <w:r>
        <w:rPr>
          <w:rFonts w:hint="eastAsia"/>
        </w:rPr>
        <w:t>定</w:t>
      </w:r>
      <w:proofErr w:type="gramEnd"/>
      <w:r>
        <w:rPr>
          <w:rFonts w:hint="eastAsia"/>
        </w:rPr>
        <w:t>为</w:t>
      </w:r>
      <w:r>
        <w:rPr>
          <w:rFonts w:hint="eastAsia"/>
        </w:rPr>
        <w:t>3</w:t>
      </w:r>
      <w:r>
        <w:t>0</w:t>
      </w:r>
      <w:r>
        <w:rPr>
          <w:rFonts w:hint="eastAsia"/>
        </w:rPr>
        <w:t>°。</w:t>
      </w:r>
    </w:p>
    <w:p w14:paraId="2400A9A1" w14:textId="0DF990C2" w:rsidR="000543FE" w:rsidRDefault="000543FE" w:rsidP="000543FE">
      <w:pPr>
        <w:pStyle w:val="3"/>
        <w:spacing w:after="156"/>
      </w:pPr>
      <w:r>
        <w:rPr>
          <w:rFonts w:hint="eastAsia"/>
        </w:rPr>
        <w:lastRenderedPageBreak/>
        <w:t>关于锥头磨损量的确定</w:t>
      </w:r>
    </w:p>
    <w:p w14:paraId="4A250B43" w14:textId="6E6FB2CA" w:rsidR="000543FE" w:rsidRDefault="000543FE" w:rsidP="00D40F94">
      <w:pPr>
        <w:pStyle w:val="ac"/>
        <w:ind w:firstLine="480"/>
      </w:pPr>
      <w:r>
        <w:rPr>
          <w:rFonts w:hint="eastAsia"/>
        </w:rPr>
        <w:t>一般规定，当锥头底面直径磨损导致圆锥指数增大</w:t>
      </w:r>
      <w:r>
        <w:rPr>
          <w:rFonts w:hint="eastAsia"/>
        </w:rPr>
        <w:t>5</w:t>
      </w:r>
      <w:r>
        <w:t>%</w:t>
      </w:r>
      <w:r>
        <w:rPr>
          <w:rFonts w:hint="eastAsia"/>
        </w:rPr>
        <w:t>时，需要更换新锥头。设圆锥直径为</w:t>
      </w:r>
      <m:oMath>
        <m:r>
          <w:rPr>
            <w:rFonts w:ascii="Cambria Math" w:hAnsi="Cambria Math" w:hint="eastAsia"/>
          </w:rPr>
          <m:t>d</m:t>
        </m:r>
      </m:oMath>
      <w:r>
        <w:rPr>
          <w:rFonts w:hint="eastAsia"/>
        </w:rPr>
        <w:t>，贯入阻力为</w:t>
      </w:r>
      <m:oMath>
        <m:r>
          <w:rPr>
            <w:rFonts w:ascii="Cambria Math" w:hAnsi="Cambria Math" w:hint="eastAsia"/>
          </w:rPr>
          <m:t>F</m:t>
        </m:r>
      </m:oMath>
      <w:r>
        <w:rPr>
          <w:rFonts w:hint="eastAsia"/>
        </w:rPr>
        <w:t>，圆锥指数为</w:t>
      </w:r>
      <m:oMath>
        <m:r>
          <w:rPr>
            <w:rFonts w:ascii="Cambria Math" w:hAnsi="Cambria Math" w:hint="eastAsia"/>
          </w:rPr>
          <m:t>CI</m:t>
        </m:r>
      </m:oMath>
      <w:r>
        <w:rPr>
          <w:rFonts w:hint="eastAsia"/>
        </w:rPr>
        <w:t>，磨损后的直径为</w:t>
      </w:r>
      <m:oMath>
        <m:acc>
          <m:accPr>
            <m:ctrlPr>
              <w:rPr>
                <w:rFonts w:ascii="Cambria Math" w:hAnsi="Cambria Math"/>
                <w:i/>
              </w:rPr>
            </m:ctrlPr>
          </m:accPr>
          <m:e>
            <m:r>
              <w:rPr>
                <w:rFonts w:ascii="Cambria Math" w:hAnsi="Cambria Math" w:hint="eastAsia"/>
              </w:rPr>
              <m:t>d</m:t>
            </m:r>
          </m:e>
        </m:acc>
      </m:oMath>
      <w:r>
        <w:rPr>
          <w:rFonts w:hint="eastAsia"/>
        </w:rPr>
        <w:t>，磨损后的圆锥指数为</w:t>
      </w:r>
      <m:oMath>
        <m:acc>
          <m:accPr>
            <m:ctrlPr>
              <w:rPr>
                <w:rFonts w:ascii="Cambria Math" w:hAnsi="Cambria Math"/>
                <w:i/>
              </w:rPr>
            </m:ctrlPr>
          </m:accPr>
          <m:e>
            <m:r>
              <w:rPr>
                <w:rFonts w:ascii="Cambria Math" w:hAnsi="Cambria Math" w:hint="eastAsia"/>
              </w:rPr>
              <m:t>CI</m:t>
            </m:r>
          </m:e>
        </m:acc>
      </m:oMath>
      <w:r>
        <w:rPr>
          <w:rFonts w:hint="eastAsia"/>
        </w:rPr>
        <w:t>，则有</w:t>
      </w:r>
    </w:p>
    <w:p w14:paraId="0A2DD4F2" w14:textId="77777777" w:rsidR="000543FE" w:rsidRPr="00021647" w:rsidRDefault="000543FE" w:rsidP="00D40F94">
      <w:pPr>
        <w:pStyle w:val="ac"/>
        <w:ind w:firstLine="480"/>
      </w:pPr>
      <w:bookmarkStart w:id="3" w:name="_Hlk67319733"/>
      <m:oMathPara>
        <m:oMath>
          <m:r>
            <w:rPr>
              <w:rFonts w:ascii="Cambria Math" w:hAnsi="Cambria Math" w:hint="eastAsia"/>
            </w:rPr>
            <m:t>CI</m:t>
          </m:r>
          <m:r>
            <w:rPr>
              <w:rFonts w:ascii="Cambria Math" w:hAnsi="Cambria Math"/>
            </w:rPr>
            <m:t>=</m:t>
          </m:r>
          <m:f>
            <m:fPr>
              <m:ctrlPr>
                <w:rPr>
                  <w:rFonts w:ascii="Cambria Math" w:hAnsi="Cambria Math"/>
                  <w:i/>
                </w:rPr>
              </m:ctrlPr>
            </m:fPr>
            <m:num>
              <m:r>
                <w:rPr>
                  <w:rFonts w:ascii="Cambria Math" w:hAnsi="Cambria Math"/>
                </w:rPr>
                <m:t>F</m:t>
              </m:r>
            </m:num>
            <m:den>
              <m:f>
                <m:fPr>
                  <m:ctrlPr>
                    <w:rPr>
                      <w:rFonts w:ascii="Cambria Math" w:hAnsi="Cambria Math"/>
                      <w:i/>
                    </w:rPr>
                  </m:ctrlPr>
                </m:fPr>
                <m:num>
                  <m: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4</m:t>
                  </m:r>
                </m:den>
              </m:f>
            </m:den>
          </m:f>
          <m:r>
            <w:rPr>
              <w:rFonts w:ascii="Cambria Math" w:hAnsi="Cambria Math"/>
            </w:rPr>
            <m:t>=</m:t>
          </m:r>
          <m:f>
            <m:fPr>
              <m:ctrlPr>
                <w:rPr>
                  <w:rFonts w:ascii="Cambria Math" w:hAnsi="Cambria Math"/>
                  <w:i/>
                </w:rPr>
              </m:ctrlPr>
            </m:fPr>
            <m:num>
              <m:r>
                <w:rPr>
                  <w:rFonts w:ascii="Cambria Math" w:hAnsi="Cambria Math"/>
                </w:rPr>
                <m:t>4F</m:t>
              </m:r>
            </m:num>
            <m:den>
              <m: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rPr>
                    <m:t>2</m:t>
                  </m:r>
                </m:sup>
              </m:sSup>
            </m:den>
          </m:f>
        </m:oMath>
      </m:oMathPara>
      <w:bookmarkEnd w:id="3"/>
    </w:p>
    <w:p w14:paraId="1B4F05F5" w14:textId="77777777" w:rsidR="000543FE" w:rsidRPr="00021647" w:rsidRDefault="000D3CBF" w:rsidP="00D40F94">
      <w:pPr>
        <w:pStyle w:val="ac"/>
        <w:ind w:firstLine="480"/>
      </w:pPr>
      <m:oMathPara>
        <m:oMath>
          <m:acc>
            <m:accPr>
              <m:ctrlPr>
                <w:rPr>
                  <w:rFonts w:ascii="Cambria Math" w:hAnsi="Cambria Math"/>
                  <w:i/>
                </w:rPr>
              </m:ctrlPr>
            </m:accPr>
            <m:e>
              <m:r>
                <w:rPr>
                  <w:rFonts w:ascii="Cambria Math" w:hAnsi="Cambria Math"/>
                </w:rPr>
                <m:t>CI</m:t>
              </m:r>
            </m:e>
          </m:acc>
          <m:r>
            <w:rPr>
              <w:rFonts w:ascii="Cambria Math" w:hAnsi="Cambria Math"/>
            </w:rPr>
            <m:t>=</m:t>
          </m:r>
          <m:f>
            <m:fPr>
              <m:ctrlPr>
                <w:rPr>
                  <w:rFonts w:ascii="Cambria Math" w:hAnsi="Cambria Math"/>
                  <w:i/>
                </w:rPr>
              </m:ctrlPr>
            </m:fPr>
            <m:num>
              <m:r>
                <w:rPr>
                  <w:rFonts w:ascii="Cambria Math" w:hAnsi="Cambria Math"/>
                </w:rPr>
                <m:t>4F</m:t>
              </m:r>
            </m:num>
            <m:den>
              <m:r>
                <w:rPr>
                  <w:rFonts w:ascii="Cambria Math" w:hAnsi="Cambria Math"/>
                </w:rPr>
                <m:t>π</m:t>
              </m:r>
              <m:sSup>
                <m:sSupPr>
                  <m:ctrlPr>
                    <w:rPr>
                      <w:rFonts w:ascii="Cambria Math" w:hAnsi="Cambria Math"/>
                      <w:i/>
                    </w:rPr>
                  </m:ctrlPr>
                </m:sSupPr>
                <m:e>
                  <m:acc>
                    <m:accPr>
                      <m:ctrlPr>
                        <w:rPr>
                          <w:rFonts w:ascii="Cambria Math" w:hAnsi="Cambria Math"/>
                          <w:i/>
                        </w:rPr>
                      </m:ctrlPr>
                    </m:accPr>
                    <m:e>
                      <m:r>
                        <w:rPr>
                          <w:rFonts w:ascii="Cambria Math" w:hAnsi="Cambria Math"/>
                        </w:rPr>
                        <m:t>d</m:t>
                      </m:r>
                    </m:e>
                  </m:acc>
                </m:e>
                <m:sup>
                  <m:r>
                    <w:rPr>
                      <w:rFonts w:ascii="Cambria Math" w:hAnsi="Cambria Math"/>
                    </w:rPr>
                    <m:t>2</m:t>
                  </m:r>
                </m:sup>
              </m:sSup>
            </m:den>
          </m:f>
        </m:oMath>
      </m:oMathPara>
    </w:p>
    <w:p w14:paraId="41A44AC4" w14:textId="77777777" w:rsidR="000543FE" w:rsidRDefault="000543FE" w:rsidP="00D40F94">
      <w:pPr>
        <w:pStyle w:val="ac"/>
        <w:ind w:firstLine="480"/>
      </w:pPr>
      <w:r>
        <w:rPr>
          <w:rFonts w:hint="eastAsia"/>
        </w:rPr>
        <w:t>因</w:t>
      </w:r>
    </w:p>
    <w:p w14:paraId="56D514F9" w14:textId="77777777" w:rsidR="000543FE" w:rsidRPr="00021647" w:rsidRDefault="000D3CBF" w:rsidP="00D40F94">
      <w:pPr>
        <w:pStyle w:val="ac"/>
        <w:ind w:firstLine="480"/>
      </w:pPr>
      <m:oMathPara>
        <m:oMath>
          <m:acc>
            <m:accPr>
              <m:ctrlPr>
                <w:rPr>
                  <w:rFonts w:ascii="Cambria Math" w:hAnsi="Cambria Math"/>
                  <w:i/>
                </w:rPr>
              </m:ctrlPr>
            </m:accPr>
            <m:e>
              <m:r>
                <w:rPr>
                  <w:rFonts w:ascii="Cambria Math" w:hAnsi="Cambria Math"/>
                </w:rPr>
                <m:t>CI</m:t>
              </m:r>
            </m:e>
          </m:acc>
          <m:r>
            <w:rPr>
              <w:rFonts w:ascii="Cambria Math" w:hAnsi="Cambria Math"/>
            </w:rPr>
            <m:t>=1.05CI</m:t>
          </m:r>
        </m:oMath>
      </m:oMathPara>
    </w:p>
    <w:p w14:paraId="47927125" w14:textId="77777777" w:rsidR="000543FE" w:rsidRDefault="000543FE" w:rsidP="00D40F94">
      <w:pPr>
        <w:pStyle w:val="ac"/>
        <w:ind w:firstLine="480"/>
      </w:pPr>
      <w:r>
        <w:rPr>
          <w:rFonts w:hint="eastAsia"/>
        </w:rPr>
        <w:t>将前两式代入上式，得</w:t>
      </w:r>
    </w:p>
    <w:p w14:paraId="580B665E" w14:textId="77777777" w:rsidR="000543FE" w:rsidRPr="00021647" w:rsidRDefault="000D3CBF" w:rsidP="00D40F94">
      <w:pPr>
        <w:pStyle w:val="ac"/>
        <w:ind w:firstLine="480"/>
      </w:pPr>
      <m:oMathPara>
        <m:oMath>
          <m:f>
            <m:fPr>
              <m:ctrlPr>
                <w:rPr>
                  <w:rFonts w:ascii="Cambria Math" w:hAnsi="Cambria Math"/>
                  <w:i/>
                </w:rPr>
              </m:ctrlPr>
            </m:fPr>
            <m:num>
              <m:r>
                <w:rPr>
                  <w:rFonts w:ascii="Cambria Math" w:hAnsi="Cambria Math"/>
                </w:rPr>
                <m:t>4F</m:t>
              </m:r>
            </m:num>
            <m:den>
              <m:r>
                <w:rPr>
                  <w:rFonts w:ascii="Cambria Math" w:hAnsi="Cambria Math"/>
                </w:rPr>
                <m:t>π</m:t>
              </m:r>
              <m:sSup>
                <m:sSupPr>
                  <m:ctrlPr>
                    <w:rPr>
                      <w:rFonts w:ascii="Cambria Math" w:hAnsi="Cambria Math"/>
                      <w:i/>
                    </w:rPr>
                  </m:ctrlPr>
                </m:sSupPr>
                <m:e>
                  <m:acc>
                    <m:accPr>
                      <m:ctrlPr>
                        <w:rPr>
                          <w:rFonts w:ascii="Cambria Math" w:hAnsi="Cambria Math"/>
                          <w:i/>
                        </w:rPr>
                      </m:ctrlPr>
                    </m:accPr>
                    <m:e>
                      <m:r>
                        <w:rPr>
                          <w:rFonts w:ascii="Cambria Math" w:hAnsi="Cambria Math"/>
                        </w:rPr>
                        <m:t>d</m:t>
                      </m:r>
                    </m:e>
                  </m:acc>
                </m:e>
                <m:sup>
                  <m:r>
                    <w:rPr>
                      <w:rFonts w:ascii="Cambria Math" w:hAnsi="Cambria Math"/>
                    </w:rPr>
                    <m:t>2</m:t>
                  </m:r>
                </m:sup>
              </m:sSup>
            </m:den>
          </m:f>
          <m:r>
            <w:rPr>
              <w:rFonts w:ascii="Cambria Math" w:hAnsi="Cambria Math"/>
            </w:rPr>
            <m:t>=1.05</m:t>
          </m:r>
          <m:f>
            <m:fPr>
              <m:ctrlPr>
                <w:rPr>
                  <w:rFonts w:ascii="Cambria Math" w:hAnsi="Cambria Math"/>
                  <w:i/>
                </w:rPr>
              </m:ctrlPr>
            </m:fPr>
            <m:num>
              <m:r>
                <w:rPr>
                  <w:rFonts w:ascii="Cambria Math" w:hAnsi="Cambria Math"/>
                </w:rPr>
                <m:t>4F</m:t>
              </m:r>
            </m:num>
            <m:den>
              <m: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rPr>
                    <m:t>2</m:t>
                  </m:r>
                </m:sup>
              </m:sSup>
            </m:den>
          </m:f>
        </m:oMath>
      </m:oMathPara>
    </w:p>
    <w:p w14:paraId="4862FA64" w14:textId="77777777" w:rsidR="000543FE" w:rsidRPr="00021647" w:rsidRDefault="000D3CBF" w:rsidP="00D40F94">
      <w:pPr>
        <w:pStyle w:val="ac"/>
        <w:ind w:firstLine="480"/>
      </w:pPr>
      <m:oMathPara>
        <m:oMath>
          <m:acc>
            <m:accPr>
              <m:ctrlPr>
                <w:rPr>
                  <w:rFonts w:ascii="Cambria Math" w:hAnsi="Cambria Math"/>
                  <w:i/>
                </w:rPr>
              </m:ctrlPr>
            </m:accPr>
            <m:e>
              <m:r>
                <w:rPr>
                  <w:rFonts w:ascii="Cambria Math" w:hAnsi="Cambria Math"/>
                </w:rPr>
                <m:t>d</m:t>
              </m:r>
            </m:e>
          </m:acc>
          <m:r>
            <w:rPr>
              <w:rFonts w:ascii="Cambria Math" w:hAnsi="Cambria Math"/>
            </w:rPr>
            <m:t>=0.976d</m:t>
          </m:r>
        </m:oMath>
      </m:oMathPara>
    </w:p>
    <w:p w14:paraId="182CAACB" w14:textId="77777777" w:rsidR="000543FE" w:rsidRPr="00696740" w:rsidRDefault="000543FE" w:rsidP="00D40F94">
      <w:pPr>
        <w:pStyle w:val="ac"/>
        <w:ind w:firstLine="480"/>
      </w:pPr>
      <m:oMathPara>
        <m:oMath>
          <m:r>
            <w:rPr>
              <w:rFonts w:ascii="Cambria Math" w:hAnsi="Cambria Math"/>
            </w:rPr>
            <m:t>∆d=</m:t>
          </m:r>
          <m:acc>
            <m:accPr>
              <m:ctrlPr>
                <w:rPr>
                  <w:rFonts w:ascii="Cambria Math" w:hAnsi="Cambria Math"/>
                  <w:i/>
                </w:rPr>
              </m:ctrlPr>
            </m:accPr>
            <m:e>
              <m:r>
                <w:rPr>
                  <w:rFonts w:ascii="Cambria Math" w:hAnsi="Cambria Math"/>
                </w:rPr>
                <m:t>d</m:t>
              </m:r>
            </m:e>
          </m:acc>
          <m:r>
            <w:rPr>
              <w:rFonts w:ascii="Cambria Math" w:hAnsi="Cambria Math"/>
            </w:rPr>
            <m:t>-d=0.976d-d=-0.024d</m:t>
          </m:r>
        </m:oMath>
      </m:oMathPara>
    </w:p>
    <w:p w14:paraId="04A0E6C5" w14:textId="53041788" w:rsidR="000543FE" w:rsidRPr="009421E2" w:rsidRDefault="000543FE" w:rsidP="00D40F94">
      <w:pPr>
        <w:pStyle w:val="ac"/>
        <w:ind w:firstLine="480"/>
      </w:pPr>
      <w:r>
        <w:rPr>
          <w:rFonts w:hint="eastAsia"/>
        </w:rPr>
        <w:t>即，底面直径磨损</w:t>
      </w:r>
      <w:r>
        <w:rPr>
          <w:rFonts w:hint="eastAsia"/>
        </w:rPr>
        <w:t>2</w:t>
      </w:r>
      <w:r>
        <w:t>.4%</w:t>
      </w:r>
      <w:r>
        <w:rPr>
          <w:rFonts w:hint="eastAsia"/>
        </w:rPr>
        <w:t>时，将给圆锥指数带来</w:t>
      </w:r>
      <w:r>
        <w:rPr>
          <w:rFonts w:hint="eastAsia"/>
        </w:rPr>
        <w:t>5</w:t>
      </w:r>
      <w:r>
        <w:t>%</w:t>
      </w:r>
      <w:r>
        <w:rPr>
          <w:rFonts w:hint="eastAsia"/>
        </w:rPr>
        <w:t>的误差。</w:t>
      </w:r>
    </w:p>
    <w:p w14:paraId="2BC1CFCF" w14:textId="538D7A41" w:rsidR="000543FE" w:rsidRPr="00A9194A" w:rsidRDefault="000543FE" w:rsidP="000543FE">
      <w:pPr>
        <w:pStyle w:val="3"/>
        <w:spacing w:after="156"/>
      </w:pPr>
      <w:r>
        <w:rPr>
          <w:rFonts w:hint="eastAsia"/>
        </w:rPr>
        <w:t>关于计量单位</w:t>
      </w:r>
      <w:r w:rsidR="00D40F94">
        <w:rPr>
          <w:rFonts w:hint="eastAsia"/>
        </w:rPr>
        <w:t>的讨论</w:t>
      </w:r>
    </w:p>
    <w:p w14:paraId="454E1389" w14:textId="77777777" w:rsidR="000543FE" w:rsidRPr="00512315" w:rsidRDefault="000543FE" w:rsidP="00D40F94">
      <w:pPr>
        <w:pStyle w:val="ac"/>
        <w:ind w:firstLine="480"/>
      </w:pPr>
      <w:bookmarkStart w:id="4" w:name="_Hlk66432302"/>
      <w:r w:rsidRPr="00512315">
        <w:rPr>
          <w:rFonts w:hint="eastAsia"/>
        </w:rPr>
        <w:t>土壤圆锥指数用单位面积上的压力来表示，如下式，</w:t>
      </w:r>
    </w:p>
    <w:bookmarkEnd w:id="4"/>
    <w:p w14:paraId="5F5058B7" w14:textId="77777777" w:rsidR="000543FE" w:rsidRPr="00A27964" w:rsidRDefault="000543FE" w:rsidP="00D40F94">
      <w:pPr>
        <w:pStyle w:val="ac"/>
        <w:ind w:firstLine="480"/>
      </w:pPr>
      <m:oMathPara>
        <m:oMath>
          <m:r>
            <w:rPr>
              <w:rFonts w:ascii="Cambria Math" w:hAnsi="Cambria Math"/>
            </w:rPr>
            <m:t>CI=</m:t>
          </m:r>
          <m:f>
            <m:fPr>
              <m:ctrlPr>
                <w:rPr>
                  <w:rFonts w:ascii="Cambria Math" w:hAnsi="Cambria Math"/>
                  <w:i/>
                </w:rPr>
              </m:ctrlPr>
            </m:fPr>
            <m:num>
              <w:bookmarkStart w:id="5" w:name="_Hlk66432229"/>
              <m:r>
                <w:rPr>
                  <w:rFonts w:ascii="Cambria Math" w:hAnsi="Cambria Math"/>
                </w:rPr>
                <m:t>F</m:t>
              </m:r>
              <w:bookmarkEnd w:id="5"/>
            </m:num>
            <m:den>
              <m:r>
                <w:rPr>
                  <w:rFonts w:ascii="Cambria Math" w:hAnsi="Cambria Math"/>
                </w:rPr>
                <m:t>A</m:t>
              </m:r>
            </m:den>
          </m:f>
        </m:oMath>
      </m:oMathPara>
    </w:p>
    <w:p w14:paraId="28685E8A" w14:textId="77777777" w:rsidR="000543FE" w:rsidRDefault="000543FE" w:rsidP="00D40F94">
      <w:pPr>
        <w:pStyle w:val="ac"/>
        <w:ind w:firstLine="480"/>
      </w:pPr>
      <w:r>
        <w:rPr>
          <w:rFonts w:hint="eastAsia"/>
        </w:rPr>
        <w:t>式中：</w:t>
      </w:r>
    </w:p>
    <w:p w14:paraId="46FFA9DA" w14:textId="3FDE5573" w:rsidR="000543FE" w:rsidRDefault="000543FE" w:rsidP="00D40F94">
      <w:pPr>
        <w:pStyle w:val="ac"/>
        <w:ind w:firstLine="480"/>
      </w:pPr>
      <m:oMath>
        <m:r>
          <w:rPr>
            <w:rFonts w:ascii="Cambria Math" w:hAnsi="Cambria Math"/>
          </w:rPr>
          <m:t>F</m:t>
        </m:r>
      </m:oMath>
      <w:r>
        <w:rPr>
          <w:rFonts w:hint="eastAsia"/>
        </w:rPr>
        <w:t>——土壤阻力的数值，单位为牛顿（</w:t>
      </w:r>
      <w:r>
        <w:rPr>
          <w:rFonts w:hint="eastAsia"/>
        </w:rPr>
        <w:t>N</w:t>
      </w:r>
      <w:r>
        <w:rPr>
          <w:rFonts w:hint="eastAsia"/>
        </w:rPr>
        <w:t>）；</w:t>
      </w:r>
    </w:p>
    <w:p w14:paraId="5923E23E" w14:textId="7BF01AB8" w:rsidR="000543FE" w:rsidRDefault="000543FE" w:rsidP="00D40F94">
      <w:pPr>
        <w:pStyle w:val="ac"/>
        <w:ind w:firstLine="480"/>
      </w:pPr>
      <m:oMath>
        <m:r>
          <w:rPr>
            <w:rFonts w:ascii="Cambria Math" w:hAnsi="Cambria Math"/>
          </w:rPr>
          <m:t>A</m:t>
        </m:r>
      </m:oMath>
      <w:r>
        <w:rPr>
          <w:rFonts w:hint="eastAsia"/>
        </w:rPr>
        <w:t>——圆锥底面积的数值，单位为平方毫米（</w:t>
      </w:r>
      <w:r>
        <w:rPr>
          <w:rFonts w:hint="eastAsia"/>
        </w:rPr>
        <w:t>m</w:t>
      </w:r>
      <w:r>
        <w:t>m</w:t>
      </w:r>
      <w:r w:rsidRPr="00A27964">
        <w:rPr>
          <w:vertAlign w:val="superscript"/>
        </w:rPr>
        <w:t>2</w:t>
      </w:r>
      <w:r w:rsidRPr="000543FE">
        <w:rPr>
          <w:rFonts w:hint="eastAsia"/>
        </w:rPr>
        <w:t>）</w:t>
      </w:r>
      <w:r>
        <w:rPr>
          <w:rFonts w:hint="eastAsia"/>
        </w:rPr>
        <w:t>；</w:t>
      </w:r>
    </w:p>
    <w:p w14:paraId="50AB3A64" w14:textId="0200A7AA" w:rsidR="000543FE" w:rsidRDefault="000543FE" w:rsidP="00D40F94">
      <w:pPr>
        <w:pStyle w:val="ac"/>
        <w:ind w:firstLine="480"/>
      </w:pPr>
      <m:oMath>
        <m:r>
          <w:rPr>
            <w:rFonts w:ascii="Cambria Math" w:hAnsi="Cambria Math"/>
          </w:rPr>
          <m:t>CI</m:t>
        </m:r>
      </m:oMath>
      <w:r>
        <w:rPr>
          <w:rFonts w:hint="eastAsia"/>
        </w:rPr>
        <w:t>——土壤圆锥指数的数值。</w:t>
      </w:r>
    </w:p>
    <w:p w14:paraId="53EBEE4F" w14:textId="77777777" w:rsidR="000543FE" w:rsidRDefault="000543FE" w:rsidP="00D40F94">
      <w:pPr>
        <w:pStyle w:val="ac"/>
        <w:ind w:firstLine="480"/>
      </w:pPr>
      <w:r>
        <w:rPr>
          <w:rFonts w:hint="eastAsia"/>
        </w:rPr>
        <w:t>需要明确的是给出的式子并不是量方程。对于量方程只定量地给出这些量之间的关系，而与他们所采用的计量单位无关。因此，在给出量方程时，不应该限制这些量的单位。事实上，这里给出的只能算作数值方程，即给出在一定单位下各个量的数值间的关系式。</w:t>
      </w:r>
    </w:p>
    <w:p w14:paraId="1D2240B1" w14:textId="77777777" w:rsidR="000543FE" w:rsidRDefault="000543FE" w:rsidP="00D40F94">
      <w:pPr>
        <w:pStyle w:val="ac"/>
        <w:ind w:firstLine="480"/>
      </w:pPr>
      <w:r>
        <w:rPr>
          <w:rFonts w:hint="eastAsia"/>
        </w:rPr>
        <w:lastRenderedPageBreak/>
        <w:t>试验得出的</w:t>
      </w:r>
      <w:r w:rsidRPr="0047347F">
        <w:rPr>
          <w:rFonts w:hint="eastAsia"/>
        </w:rPr>
        <w:t>土壤圆锥指数</w:t>
      </w:r>
      <w:r>
        <w:rPr>
          <w:rFonts w:hint="eastAsia"/>
        </w:rPr>
        <w:t>值同施加力的速度、加速度，锥头的角度、锥头的底面直径等的大小有关。而作为量方程来说，无论采用怎样大小的力、速度、加速度，锥头大小，得到的值都应该相等。从仿真和试验结果来看，都不是这样的。</w:t>
      </w:r>
    </w:p>
    <w:p w14:paraId="461880AB" w14:textId="77777777" w:rsidR="000543FE" w:rsidRDefault="000543FE" w:rsidP="00D40F94">
      <w:pPr>
        <w:pStyle w:val="ac"/>
        <w:ind w:firstLine="480"/>
      </w:pPr>
      <w:r>
        <w:rPr>
          <w:rFonts w:hint="eastAsia"/>
        </w:rPr>
        <w:t>一切计量单位都可以定义它的大小。</w:t>
      </w:r>
      <w:r w:rsidRPr="0047347F">
        <w:rPr>
          <w:rFonts w:hint="eastAsia"/>
        </w:rPr>
        <w:t>土壤圆锥指数</w:t>
      </w:r>
      <w:r>
        <w:rPr>
          <w:rFonts w:hint="eastAsia"/>
        </w:rPr>
        <w:t>没有定义单位，没有“一个硬度单位”这一概念。</w:t>
      </w:r>
    </w:p>
    <w:p w14:paraId="350D0D11" w14:textId="34C20193" w:rsidR="000543FE" w:rsidRDefault="000543FE" w:rsidP="00D40F94">
      <w:pPr>
        <w:pStyle w:val="ac"/>
        <w:ind w:firstLine="480"/>
      </w:pPr>
      <w:r>
        <w:rPr>
          <w:rFonts w:hint="eastAsia"/>
        </w:rPr>
        <w:t>因此，</w:t>
      </w:r>
      <w:r w:rsidRPr="0047347F">
        <w:rPr>
          <w:rFonts w:hint="eastAsia"/>
        </w:rPr>
        <w:t>土壤圆锥指数</w:t>
      </w:r>
      <w:r>
        <w:rPr>
          <w:rFonts w:hint="eastAsia"/>
        </w:rPr>
        <w:t>不能用计量单位定量地表达，也不应该认为</w:t>
      </w:r>
      <w:r>
        <w:rPr>
          <w:rFonts w:hint="eastAsia"/>
        </w:rPr>
        <w:t>Pa</w:t>
      </w:r>
      <w:r>
        <w:rPr>
          <w:rFonts w:hint="eastAsia"/>
        </w:rPr>
        <w:t>、</w:t>
      </w:r>
      <w:proofErr w:type="spellStart"/>
      <w:r>
        <w:rPr>
          <w:rFonts w:hint="eastAsia"/>
        </w:rPr>
        <w:t>kPa</w:t>
      </w:r>
      <w:proofErr w:type="spellEnd"/>
      <w:r>
        <w:rPr>
          <w:rFonts w:hint="eastAsia"/>
        </w:rPr>
        <w:t>、</w:t>
      </w:r>
      <w:r>
        <w:rPr>
          <w:rFonts w:hint="eastAsia"/>
        </w:rPr>
        <w:t>MPa</w:t>
      </w:r>
      <w:r>
        <w:rPr>
          <w:rFonts w:hint="eastAsia"/>
        </w:rPr>
        <w:t>是其单位。准确的表达方法是以</w:t>
      </w:r>
      <w:r w:rsidRPr="0047347F">
        <w:rPr>
          <w:rFonts w:hint="eastAsia"/>
        </w:rPr>
        <w:t>土壤圆锥指数</w:t>
      </w:r>
      <w:r>
        <w:rPr>
          <w:rFonts w:hint="eastAsia"/>
        </w:rPr>
        <w:t>的</w:t>
      </w:r>
      <w:r w:rsidR="00072135">
        <w:rPr>
          <w:rFonts w:hint="eastAsia"/>
        </w:rPr>
        <w:t>数值跟随代表</w:t>
      </w:r>
      <w:r w:rsidR="00072135" w:rsidRPr="00072135">
        <w:rPr>
          <w:rFonts w:hint="eastAsia"/>
        </w:rPr>
        <w:t>土壤圆锥指数</w:t>
      </w:r>
      <w:r>
        <w:rPr>
          <w:rFonts w:hint="eastAsia"/>
        </w:rPr>
        <w:t>英文字母</w:t>
      </w:r>
      <w:r w:rsidR="00072135">
        <w:rPr>
          <w:rFonts w:hint="eastAsia"/>
        </w:rPr>
        <w:t>的方式</w:t>
      </w:r>
      <w:r>
        <w:rPr>
          <w:rFonts w:hint="eastAsia"/>
        </w:rPr>
        <w:t>来表示，类似于金属</w:t>
      </w:r>
      <w:r w:rsidR="00072135">
        <w:rPr>
          <w:rFonts w:hint="eastAsia"/>
        </w:rPr>
        <w:t>材料</w:t>
      </w:r>
      <w:r>
        <w:rPr>
          <w:rFonts w:hint="eastAsia"/>
        </w:rPr>
        <w:t>硬度值的表示方法。</w:t>
      </w:r>
    </w:p>
    <w:p w14:paraId="50BB230F" w14:textId="11C33C26" w:rsidR="000543FE" w:rsidRDefault="000543FE" w:rsidP="00D40F94">
      <w:pPr>
        <w:pStyle w:val="ac"/>
        <w:ind w:firstLine="480"/>
      </w:pPr>
      <w:r>
        <w:rPr>
          <w:rFonts w:hint="eastAsia"/>
        </w:rPr>
        <w:t>例如，</w:t>
      </w:r>
      <w:r>
        <w:rPr>
          <w:rFonts w:hint="eastAsia"/>
        </w:rPr>
        <w:t>1</w:t>
      </w:r>
      <w:r>
        <w:t>0</w:t>
      </w:r>
      <w:r>
        <w:rPr>
          <w:rFonts w:hint="eastAsia"/>
        </w:rPr>
        <w:t>cm</w:t>
      </w:r>
      <w:r>
        <w:rPr>
          <w:rFonts w:hint="eastAsia"/>
        </w:rPr>
        <w:t>处的土壤圆锥指数为</w:t>
      </w:r>
      <w:r>
        <w:rPr>
          <w:rFonts w:hint="eastAsia"/>
        </w:rPr>
        <w:t>2</w:t>
      </w:r>
      <w:r>
        <w:t>.1</w:t>
      </w:r>
      <w:r>
        <w:rPr>
          <w:rFonts w:hint="eastAsia"/>
        </w:rPr>
        <w:t>，可以表示为</w:t>
      </w:r>
      <w:r w:rsidR="00D01156">
        <w:t>2.1</w:t>
      </w:r>
      <w:r w:rsidR="00203002">
        <w:t xml:space="preserve"> </w:t>
      </w:r>
      <w:r>
        <w:rPr>
          <w:rFonts w:hint="eastAsia"/>
        </w:rPr>
        <w:t>CI</w:t>
      </w:r>
      <w:r w:rsidR="00203002">
        <w:t>10</w:t>
      </w:r>
      <w:r>
        <w:rPr>
          <w:rFonts w:hint="eastAsia"/>
        </w:rPr>
        <w:t>；</w:t>
      </w:r>
      <w:r>
        <w:rPr>
          <w:rFonts w:hint="eastAsia"/>
        </w:rPr>
        <w:t>0</w:t>
      </w:r>
      <w:r>
        <w:t>~20</w:t>
      </w:r>
      <w:r w:rsidR="00072135">
        <w:t xml:space="preserve"> </w:t>
      </w:r>
      <w:r>
        <w:rPr>
          <w:rFonts w:hint="eastAsia"/>
        </w:rPr>
        <w:t>cm</w:t>
      </w:r>
      <w:r>
        <w:rPr>
          <w:rFonts w:hint="eastAsia"/>
        </w:rPr>
        <w:t>的平均土壤圆锥指数为</w:t>
      </w:r>
      <w:r>
        <w:rPr>
          <w:rFonts w:hint="eastAsia"/>
        </w:rPr>
        <w:t>2</w:t>
      </w:r>
      <w:r>
        <w:t>.0</w:t>
      </w:r>
      <w:r>
        <w:rPr>
          <w:rFonts w:hint="eastAsia"/>
        </w:rPr>
        <w:t>，可以表示为</w:t>
      </w:r>
      <w:r w:rsidR="00D01156">
        <w:t>2.0</w:t>
      </w:r>
      <w:r w:rsidR="00203002">
        <w:t xml:space="preserve"> </w:t>
      </w:r>
      <w:r>
        <w:rPr>
          <w:rFonts w:hint="eastAsia"/>
        </w:rPr>
        <w:t>CI</w:t>
      </w:r>
      <w:r w:rsidR="00203002">
        <w:t>0-20</w:t>
      </w:r>
      <w:r>
        <w:rPr>
          <w:rFonts w:hint="eastAsia"/>
        </w:rPr>
        <w:t>。同时，应声</w:t>
      </w:r>
      <w:proofErr w:type="gramStart"/>
      <w:r>
        <w:rPr>
          <w:rFonts w:hint="eastAsia"/>
        </w:rPr>
        <w:t>明</w:t>
      </w:r>
      <w:r w:rsidR="00203002">
        <w:rPr>
          <w:rFonts w:hint="eastAsia"/>
        </w:rPr>
        <w:t>执行</w:t>
      </w:r>
      <w:proofErr w:type="gramEnd"/>
      <w:r w:rsidR="00203002">
        <w:rPr>
          <w:rFonts w:hint="eastAsia"/>
        </w:rPr>
        <w:t>的标准或</w:t>
      </w:r>
      <w:r>
        <w:rPr>
          <w:rFonts w:hint="eastAsia"/>
        </w:rPr>
        <w:t>使用的锥头尺寸。</w:t>
      </w:r>
    </w:p>
    <w:p w14:paraId="7DE11F05" w14:textId="77777777" w:rsidR="000543FE" w:rsidRDefault="000543FE" w:rsidP="000543FE">
      <w:pPr>
        <w:pStyle w:val="3"/>
        <w:spacing w:after="156"/>
      </w:pPr>
      <w:r>
        <w:rPr>
          <w:rFonts w:hint="eastAsia"/>
        </w:rPr>
        <w:t>关于贯入加速度</w:t>
      </w:r>
    </w:p>
    <w:p w14:paraId="31ACB1B8" w14:textId="5B43687C" w:rsidR="007A7AAF" w:rsidRPr="007A7AAF" w:rsidRDefault="000543FE" w:rsidP="00D40F94">
      <w:pPr>
        <w:pStyle w:val="ac"/>
        <w:ind w:firstLine="480"/>
      </w:pPr>
      <w:r>
        <w:rPr>
          <w:rFonts w:hint="eastAsia"/>
        </w:rPr>
        <w:t>本项目只规定了恒定速度下土壤圆锥指数的标准获取方法，因此，未考虑贯入加速度的影响。</w:t>
      </w:r>
    </w:p>
    <w:p w14:paraId="2A85B2C6" w14:textId="492AA155" w:rsidR="007A7AAF" w:rsidRDefault="007A7AAF" w:rsidP="007A7AAF">
      <w:pPr>
        <w:pStyle w:val="2"/>
        <w:spacing w:after="156"/>
      </w:pPr>
      <w:r w:rsidRPr="007A7AAF">
        <w:rPr>
          <w:rFonts w:hint="eastAsia"/>
        </w:rPr>
        <w:t>解决的主要问题</w:t>
      </w:r>
    </w:p>
    <w:p w14:paraId="037C0A48" w14:textId="7D66CEF9" w:rsidR="007A7AAF" w:rsidRPr="007A7AAF" w:rsidRDefault="00E32B7E" w:rsidP="00712BFE">
      <w:pPr>
        <w:pStyle w:val="ac"/>
        <w:ind w:firstLine="480"/>
      </w:pPr>
      <w:r>
        <w:rPr>
          <w:rFonts w:hint="eastAsia"/>
        </w:rPr>
        <w:t>本标准</w:t>
      </w:r>
      <w:r w:rsidR="00712BFE">
        <w:rPr>
          <w:rFonts w:hint="eastAsia"/>
        </w:rPr>
        <w:t>界定了土壤锥形贯入仪的术语和定义，规定了土壤锥形贯入仪的型式、结构，确立了使用土壤锥形贯入仪获取土壤圆锥指数的测试程序，并提供了数据处理建议。目的在于</w:t>
      </w:r>
      <w:r w:rsidR="00712BFE" w:rsidRPr="00527435">
        <w:rPr>
          <w:rFonts w:hint="eastAsia"/>
        </w:rPr>
        <w:t>提供一种用来构建用于测量一般土壤力学条件的设备的常用方法，方便不同的研究人员报告和解释土壤数据。协助那些与不同土壤和土壤条件打交道的人，以及需要测量土壤力学性能用作比较的人</w:t>
      </w:r>
      <w:r w:rsidR="00712BFE">
        <w:rPr>
          <w:rFonts w:hint="eastAsia"/>
        </w:rPr>
        <w:t>，</w:t>
      </w:r>
      <w:r w:rsidR="00712BFE" w:rsidRPr="00527435">
        <w:rPr>
          <w:rFonts w:hint="eastAsia"/>
        </w:rPr>
        <w:t>提供通用的表征土壤性能的系统</w:t>
      </w:r>
      <w:r>
        <w:rPr>
          <w:rFonts w:hint="eastAsia"/>
        </w:rPr>
        <w:t>。</w:t>
      </w:r>
      <w:r w:rsidRPr="00E32B7E">
        <w:rPr>
          <w:rFonts w:hint="eastAsia"/>
        </w:rPr>
        <w:t>本标准的制定有助于</w:t>
      </w:r>
      <w:r w:rsidR="006801DA">
        <w:rPr>
          <w:rFonts w:hint="eastAsia"/>
        </w:rPr>
        <w:t>规范</w:t>
      </w:r>
      <w:r w:rsidRPr="00E32B7E">
        <w:rPr>
          <w:rFonts w:hint="eastAsia"/>
        </w:rPr>
        <w:t>该产品在国内的</w:t>
      </w:r>
      <w:r w:rsidR="004A446F">
        <w:rPr>
          <w:rFonts w:hint="eastAsia"/>
        </w:rPr>
        <w:t>生产和</w:t>
      </w:r>
      <w:r w:rsidRPr="00E32B7E">
        <w:rPr>
          <w:rFonts w:hint="eastAsia"/>
        </w:rPr>
        <w:t>使用。</w:t>
      </w:r>
    </w:p>
    <w:p w14:paraId="036CB1BF" w14:textId="7183638C" w:rsidR="00D620B7" w:rsidRDefault="007A7AAF" w:rsidP="007A7AAF">
      <w:pPr>
        <w:pStyle w:val="1"/>
      </w:pPr>
      <w:r w:rsidRPr="007A7AAF">
        <w:rPr>
          <w:rFonts w:hint="eastAsia"/>
        </w:rPr>
        <w:t>主要试验（或验证）情况</w:t>
      </w:r>
      <w:r>
        <w:rPr>
          <w:rFonts w:hint="eastAsia"/>
        </w:rPr>
        <w:t>分析</w:t>
      </w:r>
    </w:p>
    <w:p w14:paraId="6FB8D04B" w14:textId="6B9A5B6C" w:rsidR="00D40F94" w:rsidRDefault="00D40F94" w:rsidP="00D40F94">
      <w:pPr>
        <w:pStyle w:val="3"/>
        <w:numPr>
          <w:ilvl w:val="0"/>
          <w:numId w:val="24"/>
        </w:numPr>
        <w:spacing w:after="156"/>
      </w:pPr>
      <w:r>
        <w:rPr>
          <w:rFonts w:hint="eastAsia"/>
        </w:rPr>
        <w:t>贯入速度对土壤圆锥指数的影响分析</w:t>
      </w:r>
    </w:p>
    <w:p w14:paraId="201BBFD1" w14:textId="5D96618E" w:rsidR="00D40F94" w:rsidRDefault="00D40F94" w:rsidP="00D40F94">
      <w:pPr>
        <w:pStyle w:val="ac"/>
        <w:ind w:firstLine="480"/>
      </w:pPr>
      <w:r>
        <w:rPr>
          <w:rFonts w:hint="eastAsia"/>
        </w:rPr>
        <w:t>试验及仿真结果都</w:t>
      </w:r>
      <w:r w:rsidRPr="00D125E8">
        <w:rPr>
          <w:rFonts w:hint="eastAsia"/>
        </w:rPr>
        <w:t>表明，</w:t>
      </w:r>
      <w:r>
        <w:rPr>
          <w:rFonts w:hint="eastAsia"/>
        </w:rPr>
        <w:t>对于所有的土壤类型，</w:t>
      </w:r>
      <w:r w:rsidRPr="0099443E">
        <w:rPr>
          <w:rFonts w:hint="eastAsia"/>
        </w:rPr>
        <w:t>土壤圆锥</w:t>
      </w:r>
      <w:proofErr w:type="gramStart"/>
      <w:r w:rsidRPr="0099443E">
        <w:rPr>
          <w:rFonts w:hint="eastAsia"/>
        </w:rPr>
        <w:t>指数</w:t>
      </w:r>
      <w:r w:rsidRPr="00D125E8">
        <w:rPr>
          <w:rFonts w:hint="eastAsia"/>
        </w:rPr>
        <w:t>随贯入</w:t>
      </w:r>
      <w:proofErr w:type="gramEnd"/>
      <w:r w:rsidRPr="00D125E8">
        <w:rPr>
          <w:rFonts w:hint="eastAsia"/>
        </w:rPr>
        <w:t>速度的增加</w:t>
      </w:r>
      <w:r>
        <w:rPr>
          <w:rFonts w:hint="eastAsia"/>
        </w:rPr>
        <w:t>，按一定的指数规律</w:t>
      </w:r>
      <w:r w:rsidRPr="00D125E8">
        <w:rPr>
          <w:rFonts w:hint="eastAsia"/>
        </w:rPr>
        <w:t>而增加</w:t>
      </w:r>
      <w:r>
        <w:rPr>
          <w:rFonts w:hint="eastAsia"/>
        </w:rPr>
        <w:t>，</w:t>
      </w:r>
      <w:r w:rsidRPr="00F058DE">
        <w:rPr>
          <w:rFonts w:hint="eastAsia"/>
        </w:rPr>
        <w:t>测量结果受使用方法影响</w:t>
      </w:r>
      <w:r>
        <w:rPr>
          <w:rFonts w:hint="eastAsia"/>
        </w:rPr>
        <w:t>，如图</w:t>
      </w:r>
      <w:r>
        <w:rPr>
          <w:rFonts w:hint="eastAsia"/>
        </w:rPr>
        <w:t>2</w:t>
      </w:r>
      <w:r>
        <w:rPr>
          <w:rFonts w:hint="eastAsia"/>
        </w:rPr>
        <w:t>所示。所以，</w:t>
      </w:r>
      <w:r w:rsidRPr="0092352F">
        <w:t>锥头应以</w:t>
      </w:r>
      <w:r>
        <w:rPr>
          <w:rFonts w:hint="eastAsia"/>
        </w:rPr>
        <w:t>某一固定的</w:t>
      </w:r>
      <w:r w:rsidRPr="0092352F">
        <w:t>速率</w:t>
      </w:r>
      <w:r>
        <w:rPr>
          <w:rFonts w:hint="eastAsia"/>
        </w:rPr>
        <w:t>均匀</w:t>
      </w:r>
      <w:r w:rsidRPr="0092352F">
        <w:t>压入土壤</w:t>
      </w:r>
      <w:r>
        <w:rPr>
          <w:rFonts w:hint="eastAsia"/>
        </w:rPr>
        <w:t>，这样得到的</w:t>
      </w:r>
      <w:r w:rsidRPr="0092352F">
        <w:rPr>
          <w:rFonts w:hint="eastAsia"/>
        </w:rPr>
        <w:t>土壤圆锥指数</w:t>
      </w:r>
      <w:r w:rsidR="00712BFE">
        <w:rPr>
          <w:rFonts w:hint="eastAsia"/>
        </w:rPr>
        <w:t>不受贯入速度的影响，</w:t>
      </w:r>
      <w:r>
        <w:rPr>
          <w:rFonts w:hint="eastAsia"/>
        </w:rPr>
        <w:t>才具横向比较性。兼顾测试效率及业内通用做法，本标准拟将贯入速度限制为</w:t>
      </w:r>
      <w:r>
        <w:rPr>
          <w:rFonts w:hint="eastAsia"/>
        </w:rPr>
        <w:t>3</w:t>
      </w:r>
      <w:r>
        <w:t>0</w:t>
      </w:r>
      <w:r>
        <w:rPr>
          <w:rFonts w:hint="eastAsia"/>
        </w:rPr>
        <w:t>mm</w:t>
      </w:r>
      <w:r>
        <w:t>/s</w:t>
      </w:r>
      <w:r>
        <w:rPr>
          <w:rFonts w:hint="eastAsia"/>
        </w:rPr>
        <w:t>的速度。</w:t>
      </w:r>
      <w:r w:rsidRPr="0092352F">
        <w:t>在非常坚硬的土壤中不</w:t>
      </w:r>
      <w:r>
        <w:rPr>
          <w:rFonts w:hint="eastAsia"/>
        </w:rPr>
        <w:t>容易</w:t>
      </w:r>
      <w:r w:rsidRPr="0092352F">
        <w:t>达到</w:t>
      </w:r>
      <w:r w:rsidRPr="0092352F">
        <w:t>30 mm/s</w:t>
      </w:r>
      <w:r w:rsidRPr="0092352F">
        <w:t>的速率，但是稍慢的速率不会导致重大误差。</w:t>
      </w:r>
    </w:p>
    <w:p w14:paraId="639A6999" w14:textId="77777777" w:rsidR="00D40F94" w:rsidRDefault="00D40F94" w:rsidP="00D40F94">
      <w:pPr>
        <w:keepNext/>
        <w:ind w:firstLineChars="200" w:firstLine="420"/>
        <w:jc w:val="center"/>
      </w:pPr>
      <w:r>
        <w:rPr>
          <w:rFonts w:hint="eastAsia"/>
          <w:noProof/>
        </w:rPr>
        <w:lastRenderedPageBreak/>
        <w:drawing>
          <wp:inline distT="0" distB="0" distL="0" distR="0" wp14:anchorId="55642EFF" wp14:editId="7F6BC0DA">
            <wp:extent cx="4031626" cy="2468194"/>
            <wp:effectExtent l="0" t="0" r="698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36892" cy="2471418"/>
                    </a:xfrm>
                    <a:prstGeom prst="rect">
                      <a:avLst/>
                    </a:prstGeom>
                  </pic:spPr>
                </pic:pic>
              </a:graphicData>
            </a:graphic>
          </wp:inline>
        </w:drawing>
      </w:r>
    </w:p>
    <w:p w14:paraId="35D20706" w14:textId="77777777" w:rsidR="00D40F94" w:rsidRPr="00176DDE" w:rsidRDefault="00D40F94" w:rsidP="00D40F94">
      <w:pPr>
        <w:pStyle w:val="a9"/>
        <w:jc w:val="center"/>
      </w:pPr>
      <w:r>
        <w:t>图</w:t>
      </w:r>
      <w:r>
        <w:t xml:space="preserve"> </w:t>
      </w:r>
      <w:r>
        <w:fldChar w:fldCharType="begin"/>
      </w:r>
      <w:r>
        <w:instrText xml:space="preserve"> SEQ </w:instrText>
      </w:r>
      <w:r>
        <w:instrText>图</w:instrText>
      </w:r>
      <w:r>
        <w:instrText xml:space="preserve"> \* ARABIC </w:instrText>
      </w:r>
      <w:r>
        <w:fldChar w:fldCharType="separate"/>
      </w:r>
      <w:r>
        <w:rPr>
          <w:noProof/>
        </w:rPr>
        <w:t>2</w:t>
      </w:r>
      <w:r>
        <w:fldChar w:fldCharType="end"/>
      </w:r>
      <w:r>
        <w:t xml:space="preserve">  </w:t>
      </w:r>
      <w:r>
        <w:rPr>
          <w:rFonts w:hint="eastAsia"/>
        </w:rPr>
        <w:t>土壤圆锥指数</w:t>
      </w:r>
      <w:proofErr w:type="gramStart"/>
      <w:r>
        <w:rPr>
          <w:rFonts w:hint="eastAsia"/>
        </w:rPr>
        <w:t>比率与贯入</w:t>
      </w:r>
      <w:proofErr w:type="gramEnd"/>
      <w:r>
        <w:rPr>
          <w:rFonts w:hint="eastAsia"/>
        </w:rPr>
        <w:t>速度的关系</w:t>
      </w:r>
    </w:p>
    <w:p w14:paraId="501C00AF" w14:textId="22C06C37" w:rsidR="00CE154F" w:rsidRDefault="00CE154F" w:rsidP="00CE154F">
      <w:pPr>
        <w:pStyle w:val="3"/>
        <w:spacing w:after="156"/>
      </w:pPr>
      <w:r>
        <w:rPr>
          <w:rFonts w:hint="eastAsia"/>
        </w:rPr>
        <w:t>关于轴杆摩擦力</w:t>
      </w:r>
      <w:r w:rsidR="000C6C2F">
        <w:rPr>
          <w:rFonts w:hint="eastAsia"/>
        </w:rPr>
        <w:t>的试验分析</w:t>
      </w:r>
    </w:p>
    <w:p w14:paraId="5D532A31" w14:textId="68259923" w:rsidR="00CE154F" w:rsidRDefault="00CE154F" w:rsidP="00CE154F">
      <w:pPr>
        <w:pStyle w:val="ac"/>
        <w:ind w:firstLine="480"/>
      </w:pPr>
      <w:r w:rsidRPr="00126226">
        <w:rPr>
          <w:rFonts w:hint="eastAsia"/>
        </w:rPr>
        <w:t>圆锥贯入仪</w:t>
      </w:r>
      <w:r>
        <w:rPr>
          <w:rFonts w:hint="eastAsia"/>
        </w:rPr>
        <w:t>阻力的</w:t>
      </w:r>
      <w:r w:rsidRPr="00126226">
        <w:rPr>
          <w:rFonts w:hint="eastAsia"/>
        </w:rPr>
        <w:t>测量通常在轴</w:t>
      </w:r>
      <w:r>
        <w:rPr>
          <w:rFonts w:hint="eastAsia"/>
        </w:rPr>
        <w:t>杆</w:t>
      </w:r>
      <w:r w:rsidRPr="00126226">
        <w:rPr>
          <w:rFonts w:hint="eastAsia"/>
        </w:rPr>
        <w:t>的顶部进行，</w:t>
      </w:r>
      <w:r>
        <w:rPr>
          <w:rFonts w:hint="eastAsia"/>
        </w:rPr>
        <w:t>而</w:t>
      </w:r>
      <w:r w:rsidRPr="00126226">
        <w:rPr>
          <w:rFonts w:hint="eastAsia"/>
        </w:rPr>
        <w:t>不靠近锥头，因此包括轴</w:t>
      </w:r>
      <w:r w:rsidRPr="00253625">
        <w:rPr>
          <w:rFonts w:hint="eastAsia"/>
        </w:rPr>
        <w:t>杆</w:t>
      </w:r>
      <w:r w:rsidRPr="00126226">
        <w:rPr>
          <w:rFonts w:hint="eastAsia"/>
        </w:rPr>
        <w:t>摩擦</w:t>
      </w:r>
      <w:r>
        <w:rPr>
          <w:rFonts w:hint="eastAsia"/>
        </w:rPr>
        <w:t>的影响，随着深度变化，轴</w:t>
      </w:r>
      <w:r w:rsidRPr="00253625">
        <w:rPr>
          <w:rFonts w:hint="eastAsia"/>
        </w:rPr>
        <w:t>杆</w:t>
      </w:r>
      <w:r>
        <w:rPr>
          <w:rFonts w:hint="eastAsia"/>
        </w:rPr>
        <w:t>摩擦将会显著影响土壤圆锥指数值。试验标明，</w:t>
      </w:r>
      <w:r w:rsidRPr="00126226">
        <w:rPr>
          <w:rFonts w:hint="eastAsia"/>
        </w:rPr>
        <w:t>在松散砂土和软粘土中，轴</w:t>
      </w:r>
      <w:r w:rsidRPr="00253625">
        <w:rPr>
          <w:rFonts w:hint="eastAsia"/>
        </w:rPr>
        <w:t>杆</w:t>
      </w:r>
      <w:r w:rsidRPr="00126226">
        <w:rPr>
          <w:rFonts w:hint="eastAsia"/>
        </w:rPr>
        <w:t>摩擦力的相对贡献最大。在这些条件下，轴</w:t>
      </w:r>
      <w:r w:rsidRPr="00253625">
        <w:rPr>
          <w:rFonts w:hint="eastAsia"/>
        </w:rPr>
        <w:t>杆</w:t>
      </w:r>
      <w:r w:rsidRPr="00126226">
        <w:rPr>
          <w:rFonts w:hint="eastAsia"/>
        </w:rPr>
        <w:t>摩擦力占贯入仪总阻力的</w:t>
      </w:r>
      <w:r w:rsidRPr="00126226">
        <w:t>40%</w:t>
      </w:r>
      <w:r w:rsidRPr="00126226">
        <w:t>，但在粘着压实土壤中，这种摩擦力的影响通常较小。</w:t>
      </w:r>
      <w:r w:rsidRPr="00126226">
        <w:rPr>
          <w:rFonts w:hint="eastAsia"/>
        </w:rPr>
        <w:t>使用在锥头正后方带有力传感器的仪器，可以在各种土壤条件下更精确地测量土壤圆锥指数</w:t>
      </w:r>
      <w:r>
        <w:rPr>
          <w:rFonts w:hint="eastAsia"/>
        </w:rPr>
        <w:t>。</w:t>
      </w:r>
    </w:p>
    <w:p w14:paraId="5A8673DD" w14:textId="43C145A0" w:rsidR="00CE154F" w:rsidRPr="00176DDE" w:rsidRDefault="00CE154F" w:rsidP="00CE154F">
      <w:pPr>
        <w:pStyle w:val="ac"/>
        <w:ind w:firstLine="480"/>
      </w:pPr>
      <w:r>
        <w:rPr>
          <w:rFonts w:hint="eastAsia"/>
        </w:rPr>
        <w:t>因此，必须采取措施尽量减小轴</w:t>
      </w:r>
      <w:r w:rsidRPr="00253625">
        <w:rPr>
          <w:rFonts w:hint="eastAsia"/>
        </w:rPr>
        <w:t>杆</w:t>
      </w:r>
      <w:r>
        <w:rPr>
          <w:rFonts w:hint="eastAsia"/>
        </w:rPr>
        <w:t>摩擦带来的影响。本标准规定，联接锥头和力传感器的轴</w:t>
      </w:r>
      <w:r w:rsidRPr="00253625">
        <w:rPr>
          <w:rFonts w:hint="eastAsia"/>
        </w:rPr>
        <w:t>杆</w:t>
      </w:r>
      <w:r>
        <w:rPr>
          <w:rFonts w:hint="eastAsia"/>
        </w:rPr>
        <w:t>在保证强度的条件下应设计</w:t>
      </w:r>
      <w:r w:rsidR="00B06CA1">
        <w:rPr>
          <w:rFonts w:hint="eastAsia"/>
        </w:rPr>
        <w:t>得</w:t>
      </w:r>
      <w:proofErr w:type="gramStart"/>
      <w:r>
        <w:rPr>
          <w:rFonts w:hint="eastAsia"/>
        </w:rPr>
        <w:t>比锥底</w:t>
      </w:r>
      <w:proofErr w:type="gramEnd"/>
      <w:r>
        <w:rPr>
          <w:rFonts w:hint="eastAsia"/>
        </w:rPr>
        <w:t>直径小一些。</w:t>
      </w:r>
    </w:p>
    <w:p w14:paraId="3C85CFDC" w14:textId="2A0EEDD3" w:rsidR="007A7AAF" w:rsidRDefault="007A7AAF" w:rsidP="007A7AAF">
      <w:pPr>
        <w:pStyle w:val="1"/>
      </w:pPr>
      <w:r w:rsidRPr="007A7AAF">
        <w:rPr>
          <w:rFonts w:hint="eastAsia"/>
        </w:rPr>
        <w:t>标准中涉及专利的情况</w:t>
      </w:r>
    </w:p>
    <w:p w14:paraId="19C68FB2" w14:textId="3489D698" w:rsidR="00220747" w:rsidRPr="00220747" w:rsidRDefault="00927F70" w:rsidP="00220747">
      <w:pPr>
        <w:pStyle w:val="ac"/>
        <w:ind w:firstLine="480"/>
      </w:pPr>
      <w:r w:rsidRPr="00927F70">
        <w:rPr>
          <w:rFonts w:hint="eastAsia"/>
        </w:rPr>
        <w:t>本标准不涉及专利问题</w:t>
      </w:r>
      <w:r>
        <w:rPr>
          <w:rFonts w:hint="eastAsia"/>
        </w:rPr>
        <w:t>。</w:t>
      </w:r>
    </w:p>
    <w:p w14:paraId="3126C24D" w14:textId="7ADFCB07" w:rsidR="00222D58" w:rsidRDefault="007A7AAF" w:rsidP="007A7AAF">
      <w:pPr>
        <w:pStyle w:val="1"/>
      </w:pPr>
      <w:r w:rsidRPr="007A7AAF">
        <w:rPr>
          <w:rFonts w:hint="eastAsia"/>
        </w:rPr>
        <w:t>预期达到的社会效益、对产业发展的作用等情况</w:t>
      </w:r>
    </w:p>
    <w:p w14:paraId="767CBA95" w14:textId="573FEA6E" w:rsidR="00220747" w:rsidRPr="00220747" w:rsidRDefault="00A71AD1" w:rsidP="00220747">
      <w:pPr>
        <w:pStyle w:val="ac"/>
        <w:ind w:firstLine="480"/>
      </w:pPr>
      <w:r w:rsidRPr="00A71AD1">
        <w:rPr>
          <w:rFonts w:hint="eastAsia"/>
        </w:rPr>
        <w:t>土壤圆锥指数是表征土壤质量性状的一个重要参数，土壤锥形贯入仪是用于测量耕作层土壤圆锥指数最简单有效的</w:t>
      </w:r>
      <w:r>
        <w:rPr>
          <w:rFonts w:hint="eastAsia"/>
        </w:rPr>
        <w:t>仪器设备</w:t>
      </w:r>
      <w:r w:rsidRPr="00A71AD1">
        <w:rPr>
          <w:rFonts w:hint="eastAsia"/>
        </w:rPr>
        <w:t>。</w:t>
      </w:r>
      <w:r w:rsidR="00070876" w:rsidRPr="00070876">
        <w:rPr>
          <w:rFonts w:hint="eastAsia"/>
        </w:rPr>
        <w:t>土壤锥形贯入仪</w:t>
      </w:r>
      <w:r w:rsidR="00070876">
        <w:rPr>
          <w:rFonts w:hint="eastAsia"/>
        </w:rPr>
        <w:t>的</w:t>
      </w:r>
      <w:r>
        <w:rPr>
          <w:rFonts w:hint="eastAsia"/>
        </w:rPr>
        <w:t>标准</w:t>
      </w:r>
      <w:r w:rsidR="00070876">
        <w:rPr>
          <w:rFonts w:hint="eastAsia"/>
        </w:rPr>
        <w:t>化</w:t>
      </w:r>
      <w:r>
        <w:rPr>
          <w:rFonts w:hint="eastAsia"/>
        </w:rPr>
        <w:t>，</w:t>
      </w:r>
      <w:r w:rsidRPr="00A71AD1">
        <w:rPr>
          <w:rFonts w:hint="eastAsia"/>
        </w:rPr>
        <w:t>解决了长期以来没有</w:t>
      </w:r>
      <w:r w:rsidR="00070876">
        <w:rPr>
          <w:rFonts w:hint="eastAsia"/>
        </w:rPr>
        <w:t>统一</w:t>
      </w:r>
      <w:r w:rsidRPr="00A71AD1">
        <w:rPr>
          <w:rFonts w:hint="eastAsia"/>
        </w:rPr>
        <w:t>规范的问题，填补了国</w:t>
      </w:r>
      <w:r>
        <w:rPr>
          <w:rFonts w:hint="eastAsia"/>
        </w:rPr>
        <w:t>内</w:t>
      </w:r>
      <w:r w:rsidRPr="00A71AD1">
        <w:rPr>
          <w:rFonts w:hint="eastAsia"/>
        </w:rPr>
        <w:t>空白。</w:t>
      </w:r>
      <w:r w:rsidR="00070876">
        <w:rPr>
          <w:rFonts w:hint="eastAsia"/>
        </w:rPr>
        <w:t>有利于规范</w:t>
      </w:r>
      <w:r w:rsidR="00070876" w:rsidRPr="00070876">
        <w:rPr>
          <w:rFonts w:hint="eastAsia"/>
        </w:rPr>
        <w:t>土壤锥形贯入仪</w:t>
      </w:r>
      <w:r w:rsidR="00070876">
        <w:rPr>
          <w:rFonts w:hint="eastAsia"/>
        </w:rPr>
        <w:t>的生产和使用。</w:t>
      </w:r>
      <w:r w:rsidRPr="00A71AD1">
        <w:rPr>
          <w:rFonts w:hint="eastAsia"/>
        </w:rPr>
        <w:t>有效的土壤圆锥指数信息采集</w:t>
      </w:r>
      <w:r w:rsidR="0021526E">
        <w:rPr>
          <w:rFonts w:hint="eastAsia"/>
        </w:rPr>
        <w:t>程序</w:t>
      </w:r>
      <w:r w:rsidRPr="00A71AD1">
        <w:rPr>
          <w:rFonts w:hint="eastAsia"/>
        </w:rPr>
        <w:t>将为精细农业的实施，尤其是保护性耕作的普及提供强有力的基础数据支持。近些年来，由于农业生产的实际需要，农业车辆在使用数量、车身重量等方面均与日俱增，造成土壤状况恶化，农作物产量减少以及农机能耗增加。对农田土壤压实所造成</w:t>
      </w:r>
      <w:r w:rsidR="003842D2">
        <w:rPr>
          <w:rFonts w:hint="eastAsia"/>
        </w:rPr>
        <w:t>的</w:t>
      </w:r>
      <w:r w:rsidRPr="00A71AD1">
        <w:rPr>
          <w:rFonts w:hint="eastAsia"/>
        </w:rPr>
        <w:t>后果与对策的研究都日益重视，已经成为当前农业工程领域的一个研究热点。</w:t>
      </w:r>
      <w:r w:rsidR="0021526E">
        <w:rPr>
          <w:rFonts w:hint="eastAsia"/>
        </w:rPr>
        <w:t>本标准的发布实施，</w:t>
      </w:r>
      <w:r w:rsidR="0021526E">
        <w:rPr>
          <w:rFonts w:hint="eastAsia"/>
        </w:rPr>
        <w:lastRenderedPageBreak/>
        <w:t>有助于</w:t>
      </w:r>
      <w:r w:rsidR="0021526E" w:rsidRPr="0021526E">
        <w:rPr>
          <w:rFonts w:hint="eastAsia"/>
        </w:rPr>
        <w:t>推动产业健康有序发展，必将产生较大的社会效益和经济效益。</w:t>
      </w:r>
    </w:p>
    <w:p w14:paraId="30C3AFB2" w14:textId="7F6717CD" w:rsidR="007A7AAF" w:rsidRDefault="007A7AAF" w:rsidP="007A7AAF">
      <w:pPr>
        <w:pStyle w:val="1"/>
      </w:pPr>
      <w:r w:rsidRPr="007A7AAF">
        <w:rPr>
          <w:rFonts w:hint="eastAsia"/>
        </w:rPr>
        <w:t>采用国际标准和国外先进标准情况</w:t>
      </w:r>
    </w:p>
    <w:p w14:paraId="31091939" w14:textId="798D3315" w:rsidR="00220747" w:rsidRPr="00220747" w:rsidRDefault="001309F8" w:rsidP="00220747">
      <w:pPr>
        <w:pStyle w:val="ac"/>
        <w:ind w:firstLine="480"/>
      </w:pPr>
      <w:r w:rsidRPr="001309F8">
        <w:rPr>
          <w:rFonts w:hint="eastAsia"/>
        </w:rPr>
        <w:t>本标准未采用国际标准和国外先进标准。</w:t>
      </w:r>
      <w:r w:rsidR="00ED0954" w:rsidRPr="00ED0954">
        <w:rPr>
          <w:rFonts w:hint="eastAsia"/>
        </w:rPr>
        <w:t>本标准</w:t>
      </w:r>
      <w:r w:rsidR="00ED0954">
        <w:rPr>
          <w:rFonts w:hint="eastAsia"/>
        </w:rPr>
        <w:t>参照</w:t>
      </w:r>
      <w:r w:rsidR="00520FFA" w:rsidRPr="00520FFA">
        <w:t>ASAE S313.3</w:t>
      </w:r>
      <w:r w:rsidR="00520FFA">
        <w:rPr>
          <w:rFonts w:hint="eastAsia"/>
        </w:rPr>
        <w:t>、</w:t>
      </w:r>
      <w:r w:rsidR="00520FFA" w:rsidRPr="00520FFA">
        <w:t>ASAE EP542</w:t>
      </w:r>
      <w:r w:rsidR="00ED0954">
        <w:rPr>
          <w:rFonts w:hint="eastAsia"/>
        </w:rPr>
        <w:t>标准编写。</w:t>
      </w:r>
    </w:p>
    <w:p w14:paraId="2A11B1B5" w14:textId="64B95422" w:rsidR="007A7AAF" w:rsidRDefault="007A7AAF" w:rsidP="007A7AAF">
      <w:pPr>
        <w:pStyle w:val="1"/>
      </w:pPr>
      <w:r w:rsidRPr="007A7AAF">
        <w:rPr>
          <w:rFonts w:hint="eastAsia"/>
        </w:rPr>
        <w:t>在标准体系中的位置，与现行相关法律、法规、规章及相关标准，特别是强制性标准的协调性</w:t>
      </w:r>
    </w:p>
    <w:p w14:paraId="2BD34AB1" w14:textId="4A667EC7" w:rsidR="00167BBE" w:rsidRDefault="00167BBE" w:rsidP="007A7AAF">
      <w:pPr>
        <w:pStyle w:val="ac"/>
        <w:ind w:firstLine="480"/>
      </w:pPr>
      <w:r w:rsidRPr="00167BBE">
        <w:rPr>
          <w:rFonts w:hint="eastAsia"/>
        </w:rPr>
        <w:t>本标准属于</w:t>
      </w:r>
      <w:r w:rsidR="004A446F">
        <w:rPr>
          <w:rFonts w:hint="eastAsia"/>
        </w:rPr>
        <w:t>农业机械</w:t>
      </w:r>
      <w:r w:rsidR="00B05474">
        <w:rPr>
          <w:rFonts w:hint="eastAsia"/>
        </w:rPr>
        <w:t>标准</w:t>
      </w:r>
      <w:r w:rsidRPr="00167BBE">
        <w:rPr>
          <w:rFonts w:hint="eastAsia"/>
        </w:rPr>
        <w:t>体系</w:t>
      </w:r>
      <w:r w:rsidR="004A446F">
        <w:rPr>
          <w:rFonts w:hint="eastAsia"/>
        </w:rPr>
        <w:t>中“</w:t>
      </w:r>
      <w:r w:rsidR="00471A3B">
        <w:rPr>
          <w:rFonts w:hint="eastAsia"/>
        </w:rPr>
        <w:t>农业电子</w:t>
      </w:r>
      <w:r w:rsidR="004A446F">
        <w:rPr>
          <w:rFonts w:hint="eastAsia"/>
        </w:rPr>
        <w:t>”</w:t>
      </w:r>
      <w:r w:rsidR="00471A3B">
        <w:rPr>
          <w:rFonts w:hint="eastAsia"/>
        </w:rPr>
        <w:t>小类。</w:t>
      </w:r>
    </w:p>
    <w:p w14:paraId="591A6B16" w14:textId="43AC5F43" w:rsidR="002A0A93" w:rsidRPr="002A0A93" w:rsidRDefault="002A0A93" w:rsidP="007A7AAF">
      <w:pPr>
        <w:pStyle w:val="ac"/>
        <w:ind w:firstLine="480"/>
      </w:pPr>
      <w:r>
        <w:rPr>
          <w:rFonts w:hint="eastAsia"/>
        </w:rPr>
        <w:t>GB/T</w:t>
      </w:r>
      <w:r>
        <w:t xml:space="preserve"> 5262</w:t>
      </w:r>
      <w:r>
        <w:rPr>
          <w:rFonts w:hint="eastAsia"/>
        </w:rPr>
        <w:t>—</w:t>
      </w:r>
      <w:r>
        <w:rPr>
          <w:rFonts w:hint="eastAsia"/>
        </w:rPr>
        <w:t>2</w:t>
      </w:r>
      <w:r>
        <w:t>008</w:t>
      </w:r>
      <w:r>
        <w:rPr>
          <w:rFonts w:hint="eastAsia"/>
        </w:rPr>
        <w:t>《</w:t>
      </w:r>
      <w:r w:rsidRPr="002A0A93">
        <w:t>农业机械试验条件</w:t>
      </w:r>
      <w:r w:rsidRPr="002A0A93">
        <w:t xml:space="preserve">  </w:t>
      </w:r>
      <w:r w:rsidRPr="002A0A93">
        <w:t>测定方法的一般规定</w:t>
      </w:r>
      <w:r>
        <w:rPr>
          <w:rFonts w:hint="eastAsia"/>
        </w:rPr>
        <w:t>》中规定了土壤坚实度测量点位确定方法、分层测量和数据处理方法。本标准与其是协调一致的。</w:t>
      </w:r>
    </w:p>
    <w:p w14:paraId="34DD8BB2" w14:textId="6AA21FB8" w:rsidR="007A7AAF" w:rsidRDefault="00ED302A" w:rsidP="00ED302A">
      <w:pPr>
        <w:pStyle w:val="ac"/>
        <w:ind w:firstLine="480"/>
      </w:pPr>
      <w:r w:rsidRPr="00ED302A">
        <w:t>JJF 1011</w:t>
      </w:r>
      <w:r w:rsidR="002A0A93" w:rsidRPr="002A0A93">
        <w:rPr>
          <w:rFonts w:hint="eastAsia"/>
        </w:rPr>
        <w:t>—</w:t>
      </w:r>
      <w:r w:rsidRPr="00ED302A">
        <w:t xml:space="preserve">2006 </w:t>
      </w:r>
      <w:r>
        <w:rPr>
          <w:rFonts w:hint="eastAsia"/>
        </w:rPr>
        <w:t>《</w:t>
      </w:r>
      <w:r w:rsidRPr="00ED302A">
        <w:t>力值与硬度计量术语及定义</w:t>
      </w:r>
      <w:r>
        <w:rPr>
          <w:rFonts w:hint="eastAsia"/>
        </w:rPr>
        <w:t>》中</w:t>
      </w:r>
      <w:r>
        <w:rPr>
          <w:rFonts w:hint="eastAsia"/>
        </w:rPr>
        <w:t>3</w:t>
      </w:r>
      <w:r>
        <w:t>.24</w:t>
      </w:r>
      <w:r>
        <w:rPr>
          <w:rFonts w:hint="eastAsia"/>
        </w:rPr>
        <w:t>界定了土壤硬度计的定义，并在定义下方给出了“</w:t>
      </w:r>
      <w:r w:rsidRPr="00ED302A">
        <w:rPr>
          <w:rFonts w:hint="eastAsia"/>
        </w:rPr>
        <w:t>测定早田及一般</w:t>
      </w:r>
      <w:r>
        <w:rPr>
          <w:rFonts w:hint="eastAsia"/>
        </w:rPr>
        <w:t>土</w:t>
      </w:r>
      <w:r w:rsidRPr="00ED302A">
        <w:rPr>
          <w:rFonts w:hint="eastAsia"/>
        </w:rPr>
        <w:t>壤时，用顶圆半径为</w:t>
      </w:r>
      <w:r w:rsidRPr="00ED302A">
        <w:t>0.5</w:t>
      </w:r>
      <w:r>
        <w:t xml:space="preserve"> </w:t>
      </w:r>
      <w:r w:rsidRPr="00ED302A">
        <w:t>mm</w:t>
      </w:r>
      <w:r w:rsidRPr="00ED302A">
        <w:t>，圆锥角</w:t>
      </w:r>
      <w:r>
        <w:rPr>
          <w:rFonts w:hint="eastAsia"/>
        </w:rPr>
        <w:t>9</w:t>
      </w:r>
      <w:r>
        <w:t>0</w:t>
      </w:r>
      <w:r>
        <w:rPr>
          <w:rFonts w:hint="eastAsia"/>
        </w:rPr>
        <w:t>°</w:t>
      </w:r>
      <w:r w:rsidRPr="00ED302A">
        <w:t>的圆锥压头</w:t>
      </w:r>
      <w:r>
        <w:rPr>
          <w:rFonts w:hint="eastAsia"/>
        </w:rPr>
        <w:t>，底面直径</w:t>
      </w:r>
      <w:r>
        <w:rPr>
          <w:rFonts w:hint="eastAsia"/>
        </w:rPr>
        <w:t>1</w:t>
      </w:r>
      <w:r>
        <w:t>0 mm</w:t>
      </w:r>
      <w:r>
        <w:rPr>
          <w:rFonts w:hint="eastAsia"/>
        </w:rPr>
        <w:t>”。本标准与其不一致，</w:t>
      </w:r>
      <w:proofErr w:type="gramStart"/>
      <w:r>
        <w:rPr>
          <w:rFonts w:hint="eastAsia"/>
        </w:rPr>
        <w:t>鉴于本</w:t>
      </w:r>
      <w:proofErr w:type="gramEnd"/>
      <w:r>
        <w:rPr>
          <w:rFonts w:hint="eastAsia"/>
        </w:rPr>
        <w:t>文件前述“关于圆锥角的确定”相关内容，</w:t>
      </w:r>
      <w:r w:rsidR="002376B3">
        <w:rPr>
          <w:rFonts w:hint="eastAsia"/>
        </w:rPr>
        <w:t>建议修订</w:t>
      </w:r>
      <w:r>
        <w:rPr>
          <w:rFonts w:hint="eastAsia"/>
        </w:rPr>
        <w:t>JJF</w:t>
      </w:r>
      <w:r>
        <w:t xml:space="preserve"> 1011</w:t>
      </w:r>
      <w:r>
        <w:rPr>
          <w:rFonts w:hint="eastAsia"/>
        </w:rPr>
        <w:t>时参考本标准执行。</w:t>
      </w:r>
    </w:p>
    <w:p w14:paraId="5C7A4B62" w14:textId="604817B5" w:rsidR="00167BBE" w:rsidRPr="007A7AAF" w:rsidRDefault="00167BBE" w:rsidP="007A7AAF">
      <w:pPr>
        <w:pStyle w:val="ac"/>
        <w:ind w:firstLine="480"/>
      </w:pPr>
      <w:r w:rsidRPr="00167BBE">
        <w:rPr>
          <w:rFonts w:hint="eastAsia"/>
        </w:rPr>
        <w:t>本标准与</w:t>
      </w:r>
      <w:r w:rsidR="00B05474">
        <w:rPr>
          <w:rFonts w:hint="eastAsia"/>
        </w:rPr>
        <w:t>其</w:t>
      </w:r>
      <w:r w:rsidR="00012878">
        <w:rPr>
          <w:rFonts w:hint="eastAsia"/>
        </w:rPr>
        <w:t>它</w:t>
      </w:r>
      <w:r w:rsidRPr="00167BBE">
        <w:rPr>
          <w:rFonts w:hint="eastAsia"/>
        </w:rPr>
        <w:t>现行相关法律、法规、规章及相关标准和强制性标准协调一致。</w:t>
      </w:r>
    </w:p>
    <w:p w14:paraId="2913BCAA" w14:textId="712E5493" w:rsidR="007A7AAF" w:rsidRDefault="007A7AAF" w:rsidP="007A7AAF">
      <w:pPr>
        <w:pStyle w:val="1"/>
      </w:pPr>
      <w:r w:rsidRPr="007A7AAF">
        <w:rPr>
          <w:rFonts w:hint="eastAsia"/>
        </w:rPr>
        <w:t>重大分歧意见的处理经过和依据</w:t>
      </w:r>
    </w:p>
    <w:p w14:paraId="196F7A73" w14:textId="1FEDC339" w:rsidR="007A7AAF" w:rsidRPr="007A7AAF" w:rsidRDefault="00220747" w:rsidP="007A7AAF">
      <w:pPr>
        <w:pStyle w:val="ac"/>
        <w:ind w:firstLine="480"/>
      </w:pPr>
      <w:r>
        <w:rPr>
          <w:rFonts w:hint="eastAsia"/>
        </w:rPr>
        <w:t>无。</w:t>
      </w:r>
    </w:p>
    <w:p w14:paraId="1FEB7101" w14:textId="590A6FE6" w:rsidR="007A7AAF" w:rsidRDefault="007A7AAF" w:rsidP="007A7AAF">
      <w:pPr>
        <w:pStyle w:val="1"/>
      </w:pPr>
      <w:r w:rsidRPr="007A7AAF">
        <w:rPr>
          <w:rFonts w:hint="eastAsia"/>
        </w:rPr>
        <w:t>标准性质的建议说明</w:t>
      </w:r>
    </w:p>
    <w:p w14:paraId="0073AFDD" w14:textId="161DCE04" w:rsidR="007A7AAF" w:rsidRPr="007A7AAF" w:rsidRDefault="00220747" w:rsidP="007A7AAF">
      <w:pPr>
        <w:pStyle w:val="ac"/>
        <w:ind w:firstLine="480"/>
      </w:pPr>
      <w:r w:rsidRPr="00220747">
        <w:rPr>
          <w:rFonts w:hint="eastAsia"/>
        </w:rPr>
        <w:t>建议本标准的性质为推荐性行业标准</w:t>
      </w:r>
      <w:r>
        <w:rPr>
          <w:rFonts w:hint="eastAsia"/>
        </w:rPr>
        <w:t>。</w:t>
      </w:r>
    </w:p>
    <w:p w14:paraId="36D41CCA" w14:textId="02C1634D" w:rsidR="007A7AAF" w:rsidRDefault="007A7AAF" w:rsidP="007A7AAF">
      <w:pPr>
        <w:pStyle w:val="1"/>
      </w:pPr>
      <w:r w:rsidRPr="007A7AAF">
        <w:rPr>
          <w:rFonts w:hint="eastAsia"/>
        </w:rPr>
        <w:t>贯彻标准的要求和措施建议（包括组织措施、技术措施、过渡办法、实施日期等）</w:t>
      </w:r>
    </w:p>
    <w:p w14:paraId="500B3559" w14:textId="10871E2E" w:rsidR="007A7AAF" w:rsidRPr="007A7AAF" w:rsidRDefault="002376B3" w:rsidP="007A7AAF">
      <w:pPr>
        <w:pStyle w:val="ac"/>
        <w:ind w:firstLine="480"/>
      </w:pPr>
      <w:r w:rsidRPr="002376B3">
        <w:rPr>
          <w:rFonts w:hint="eastAsia"/>
        </w:rPr>
        <w:t>建议本标准正式</w:t>
      </w:r>
      <w:r>
        <w:rPr>
          <w:rFonts w:hint="eastAsia"/>
        </w:rPr>
        <w:t>发布</w:t>
      </w:r>
      <w:r w:rsidRPr="002376B3">
        <w:rPr>
          <w:rFonts w:hint="eastAsia"/>
        </w:rPr>
        <w:t>后，加强宣贯工作，</w:t>
      </w:r>
      <w:r>
        <w:rPr>
          <w:rFonts w:hint="eastAsia"/>
        </w:rPr>
        <w:t>尽快</w:t>
      </w:r>
      <w:r w:rsidRPr="002376B3">
        <w:rPr>
          <w:rFonts w:hint="eastAsia"/>
        </w:rPr>
        <w:t>实施</w:t>
      </w:r>
      <w:r>
        <w:rPr>
          <w:rFonts w:hint="eastAsia"/>
        </w:rPr>
        <w:t>，使得生产企业早日按标生产，科研院校</w:t>
      </w:r>
      <w:r w:rsidR="00712BFE">
        <w:rPr>
          <w:rFonts w:hint="eastAsia"/>
        </w:rPr>
        <w:t>、检验检测机构</w:t>
      </w:r>
      <w:r w:rsidRPr="002376B3">
        <w:rPr>
          <w:rFonts w:hint="eastAsia"/>
        </w:rPr>
        <w:t>早日</w:t>
      </w:r>
      <w:r>
        <w:rPr>
          <w:rFonts w:hint="eastAsia"/>
        </w:rPr>
        <w:t>按标使用。</w:t>
      </w:r>
    </w:p>
    <w:p w14:paraId="09ACA864" w14:textId="21429560" w:rsidR="007A7AAF" w:rsidRDefault="007A7AAF" w:rsidP="007A7AAF">
      <w:pPr>
        <w:pStyle w:val="1"/>
      </w:pPr>
      <w:r w:rsidRPr="007A7AAF">
        <w:rPr>
          <w:rFonts w:hint="eastAsia"/>
        </w:rPr>
        <w:t>废止现行相关标准的建议</w:t>
      </w:r>
    </w:p>
    <w:p w14:paraId="12695447" w14:textId="3533CF5C" w:rsidR="007A7AAF" w:rsidRPr="007A7AAF" w:rsidRDefault="007A7AAF" w:rsidP="007A7AAF">
      <w:pPr>
        <w:pStyle w:val="ac"/>
        <w:ind w:firstLine="480"/>
      </w:pPr>
      <w:r>
        <w:rPr>
          <w:rFonts w:hint="eastAsia"/>
        </w:rPr>
        <w:t>无。</w:t>
      </w:r>
    </w:p>
    <w:p w14:paraId="3EDF7193" w14:textId="1BB2FDEE" w:rsidR="007A7AAF" w:rsidRDefault="007A7AAF" w:rsidP="007A7AAF">
      <w:pPr>
        <w:pStyle w:val="1"/>
      </w:pPr>
      <w:r w:rsidRPr="007A7AAF">
        <w:rPr>
          <w:rFonts w:hint="eastAsia"/>
        </w:rPr>
        <w:lastRenderedPageBreak/>
        <w:t>其他应予说明的事项</w:t>
      </w:r>
    </w:p>
    <w:p w14:paraId="7CD418C9" w14:textId="371F0AE5" w:rsidR="007A7AAF" w:rsidRDefault="007A7AAF" w:rsidP="007A7AAF">
      <w:pPr>
        <w:pStyle w:val="ac"/>
        <w:ind w:firstLine="480"/>
      </w:pPr>
      <w:r>
        <w:rPr>
          <w:rFonts w:hint="eastAsia"/>
        </w:rPr>
        <w:t>无。</w:t>
      </w:r>
    </w:p>
    <w:p w14:paraId="3CF1BF3E" w14:textId="77777777" w:rsidR="007A7AAF" w:rsidRDefault="007A7AAF"/>
    <w:p w14:paraId="79F9FDED" w14:textId="77777777" w:rsidR="007A7AAF" w:rsidRDefault="007A7AAF"/>
    <w:p w14:paraId="30E5224D" w14:textId="77777777" w:rsidR="00222D58" w:rsidRDefault="00222D58"/>
    <w:p w14:paraId="5DF127C8" w14:textId="1681A1A5" w:rsidR="00222D58" w:rsidRPr="007A7AAF" w:rsidRDefault="006A56EC" w:rsidP="00222D58">
      <w:pPr>
        <w:jc w:val="right"/>
        <w:rPr>
          <w:rFonts w:ascii="宋体" w:eastAsia="宋体" w:hAnsi="宋体"/>
          <w:sz w:val="24"/>
          <w:szCs w:val="24"/>
        </w:rPr>
      </w:pPr>
      <w:r w:rsidRPr="007A7AAF">
        <w:rPr>
          <w:rFonts w:ascii="宋体" w:eastAsia="宋体" w:hAnsi="宋体" w:hint="eastAsia"/>
          <w:sz w:val="24"/>
          <w:szCs w:val="24"/>
        </w:rPr>
        <w:t>《土壤锥形贯入仪》</w:t>
      </w:r>
      <w:r w:rsidR="00222D58" w:rsidRPr="007A7AAF">
        <w:rPr>
          <w:rFonts w:ascii="宋体" w:eastAsia="宋体" w:hAnsi="宋体" w:hint="eastAsia"/>
          <w:sz w:val="24"/>
          <w:szCs w:val="24"/>
        </w:rPr>
        <w:t>标准</w:t>
      </w:r>
      <w:r w:rsidRPr="007A7AAF">
        <w:rPr>
          <w:rFonts w:ascii="宋体" w:eastAsia="宋体" w:hAnsi="宋体" w:hint="eastAsia"/>
          <w:sz w:val="24"/>
          <w:szCs w:val="24"/>
        </w:rPr>
        <w:t>起草</w:t>
      </w:r>
      <w:r w:rsidR="00222D58" w:rsidRPr="007A7AAF">
        <w:rPr>
          <w:rFonts w:ascii="宋体" w:eastAsia="宋体" w:hAnsi="宋体" w:hint="eastAsia"/>
          <w:sz w:val="24"/>
          <w:szCs w:val="24"/>
        </w:rPr>
        <w:t>工作组</w:t>
      </w:r>
    </w:p>
    <w:p w14:paraId="02799C39" w14:textId="0E6AF3C7" w:rsidR="00222D58" w:rsidRPr="007A7AAF" w:rsidRDefault="00222D58" w:rsidP="00222D58">
      <w:pPr>
        <w:jc w:val="right"/>
        <w:rPr>
          <w:rFonts w:ascii="宋体" w:eastAsia="宋体" w:hAnsi="宋体"/>
          <w:sz w:val="24"/>
          <w:szCs w:val="24"/>
        </w:rPr>
      </w:pPr>
      <w:r w:rsidRPr="007A7AAF">
        <w:rPr>
          <w:rFonts w:ascii="宋体" w:eastAsia="宋体" w:hAnsi="宋体"/>
          <w:sz w:val="24"/>
          <w:szCs w:val="24"/>
        </w:rPr>
        <w:t>2021年6月9日</w:t>
      </w:r>
    </w:p>
    <w:sectPr w:rsidR="00222D58" w:rsidRPr="007A7A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8CDC7" w14:textId="77777777" w:rsidR="000D3CBF" w:rsidRDefault="000D3CBF" w:rsidP="00176DDE">
      <w:r>
        <w:separator/>
      </w:r>
    </w:p>
  </w:endnote>
  <w:endnote w:type="continuationSeparator" w:id="0">
    <w:p w14:paraId="68434F96" w14:textId="77777777" w:rsidR="000D3CBF" w:rsidRDefault="000D3CBF" w:rsidP="0017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AD1F4" w14:textId="77777777" w:rsidR="000D3CBF" w:rsidRDefault="000D3CBF" w:rsidP="00176DDE">
      <w:r>
        <w:separator/>
      </w:r>
    </w:p>
  </w:footnote>
  <w:footnote w:type="continuationSeparator" w:id="0">
    <w:p w14:paraId="081F6B57" w14:textId="77777777" w:rsidR="000D3CBF" w:rsidRDefault="000D3CBF" w:rsidP="00176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10F7C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CBF047B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0C260B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A0C963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F027A4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34AE1E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6EECC3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FB8EA0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B982370"/>
    <w:lvl w:ilvl="0">
      <w:start w:val="1"/>
      <w:numFmt w:val="decimal"/>
      <w:lvlText w:val="%1."/>
      <w:lvlJc w:val="left"/>
      <w:pPr>
        <w:tabs>
          <w:tab w:val="num" w:pos="360"/>
        </w:tabs>
        <w:ind w:left="360" w:hangingChars="200" w:hanging="360"/>
      </w:pPr>
    </w:lvl>
  </w:abstractNum>
  <w:abstractNum w:abstractNumId="9">
    <w:nsid w:val="FFFFFF89"/>
    <w:multiLevelType w:val="singleLevel"/>
    <w:tmpl w:val="01206A6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614782"/>
    <w:multiLevelType w:val="multilevel"/>
    <w:tmpl w:val="9D926E40"/>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BD862A6"/>
    <w:multiLevelType w:val="hybridMultilevel"/>
    <w:tmpl w:val="73388B90"/>
    <w:lvl w:ilvl="0" w:tplc="ACD84C02">
      <w:start w:val="1"/>
      <w:numFmt w:val="decimal"/>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AD4AF6"/>
    <w:multiLevelType w:val="hybridMultilevel"/>
    <w:tmpl w:val="002CE4AE"/>
    <w:lvl w:ilvl="0" w:tplc="993C11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80362F"/>
    <w:multiLevelType w:val="hybridMultilevel"/>
    <w:tmpl w:val="F482A7F2"/>
    <w:lvl w:ilvl="0" w:tplc="E54C385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29546B6"/>
    <w:multiLevelType w:val="hybridMultilevel"/>
    <w:tmpl w:val="09AEDB2A"/>
    <w:lvl w:ilvl="0" w:tplc="5B122314">
      <w:start w:val="1"/>
      <w:numFmt w:val="chineseCountingThousand"/>
      <w:pStyle w:val="1"/>
      <w:suff w:val="nothing"/>
      <w:lvlText w:val="%1、"/>
      <w:lvlJc w:val="left"/>
      <w:pPr>
        <w:ind w:left="1844" w:firstLine="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E41A26"/>
    <w:multiLevelType w:val="multilevel"/>
    <w:tmpl w:val="9D926E40"/>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DD534C4"/>
    <w:multiLevelType w:val="hybridMultilevel"/>
    <w:tmpl w:val="ECF2BE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5D1032"/>
    <w:multiLevelType w:val="multilevel"/>
    <w:tmpl w:val="9D926E40"/>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C8823AF"/>
    <w:multiLevelType w:val="hybridMultilevel"/>
    <w:tmpl w:val="F7D2E97A"/>
    <w:lvl w:ilvl="0" w:tplc="53648E8E">
      <w:start w:val="1"/>
      <w:numFmt w:val="decimal"/>
      <w:pStyle w:val="2"/>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283C8F"/>
    <w:multiLevelType w:val="hybridMultilevel"/>
    <w:tmpl w:val="F7E0EB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5132F7F"/>
    <w:multiLevelType w:val="multilevel"/>
    <w:tmpl w:val="9D926E40"/>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4"/>
  </w:num>
  <w:num w:numId="2">
    <w:abstractNumId w:val="17"/>
  </w:num>
  <w:num w:numId="3">
    <w:abstractNumId w:val="12"/>
  </w:num>
  <w:num w:numId="4">
    <w:abstractNumId w:val="15"/>
  </w:num>
  <w:num w:numId="5">
    <w:abstractNumId w:val="10"/>
  </w:num>
  <w:num w:numId="6">
    <w:abstractNumId w:val="18"/>
  </w:num>
  <w:num w:numId="7">
    <w:abstractNumId w:val="20"/>
  </w:num>
  <w:num w:numId="8">
    <w:abstractNumId w:val="19"/>
  </w:num>
  <w:num w:numId="9">
    <w:abstractNumId w:val="18"/>
    <w:lvlOverride w:ilvl="0">
      <w:startOverride w:val="1"/>
    </w:lvlOverride>
  </w:num>
  <w:num w:numId="10">
    <w:abstractNumId w:val="16"/>
  </w:num>
  <w:num w:numId="11">
    <w:abstractNumId w:val="13"/>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lvlOverride w:ilvl="0">
      <w:startOverride w:val="1"/>
    </w:lvlOverride>
  </w:num>
  <w:num w:numId="23">
    <w:abstractNumId w:val="11"/>
  </w:num>
  <w:num w:numId="2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12"/>
    <w:rsid w:val="00003ABD"/>
    <w:rsid w:val="00012878"/>
    <w:rsid w:val="0001337E"/>
    <w:rsid w:val="00021647"/>
    <w:rsid w:val="00021F69"/>
    <w:rsid w:val="00023199"/>
    <w:rsid w:val="00032325"/>
    <w:rsid w:val="000427F4"/>
    <w:rsid w:val="000543FE"/>
    <w:rsid w:val="0006069F"/>
    <w:rsid w:val="00070876"/>
    <w:rsid w:val="00070ABC"/>
    <w:rsid w:val="00072135"/>
    <w:rsid w:val="000813B5"/>
    <w:rsid w:val="000A7E28"/>
    <w:rsid w:val="000B0404"/>
    <w:rsid w:val="000C6C2F"/>
    <w:rsid w:val="000D1811"/>
    <w:rsid w:val="000D3CBF"/>
    <w:rsid w:val="000E5778"/>
    <w:rsid w:val="000F32E4"/>
    <w:rsid w:val="000F6632"/>
    <w:rsid w:val="00112A86"/>
    <w:rsid w:val="00121C1C"/>
    <w:rsid w:val="00126226"/>
    <w:rsid w:val="001309F8"/>
    <w:rsid w:val="00163813"/>
    <w:rsid w:val="00167BBE"/>
    <w:rsid w:val="00170DFF"/>
    <w:rsid w:val="00176476"/>
    <w:rsid w:val="00176DDE"/>
    <w:rsid w:val="00181FDC"/>
    <w:rsid w:val="00184DEE"/>
    <w:rsid w:val="001B2739"/>
    <w:rsid w:val="001D22DA"/>
    <w:rsid w:val="001D7459"/>
    <w:rsid w:val="001E3A86"/>
    <w:rsid w:val="001E4D45"/>
    <w:rsid w:val="001E6294"/>
    <w:rsid w:val="00203002"/>
    <w:rsid w:val="0021526E"/>
    <w:rsid w:val="00220747"/>
    <w:rsid w:val="00222D58"/>
    <w:rsid w:val="002376B3"/>
    <w:rsid w:val="00251259"/>
    <w:rsid w:val="00253625"/>
    <w:rsid w:val="002A0A93"/>
    <w:rsid w:val="00300360"/>
    <w:rsid w:val="003842D2"/>
    <w:rsid w:val="00385D97"/>
    <w:rsid w:val="0039227C"/>
    <w:rsid w:val="003A472D"/>
    <w:rsid w:val="00400BBA"/>
    <w:rsid w:val="00425A4A"/>
    <w:rsid w:val="00426BD3"/>
    <w:rsid w:val="00435251"/>
    <w:rsid w:val="004501A2"/>
    <w:rsid w:val="00471A3B"/>
    <w:rsid w:val="0047347F"/>
    <w:rsid w:val="0049175E"/>
    <w:rsid w:val="004A446F"/>
    <w:rsid w:val="004C0D8B"/>
    <w:rsid w:val="004C1539"/>
    <w:rsid w:val="004C3336"/>
    <w:rsid w:val="004E0CFE"/>
    <w:rsid w:val="004F6E8C"/>
    <w:rsid w:val="0050036C"/>
    <w:rsid w:val="00512315"/>
    <w:rsid w:val="00520FFA"/>
    <w:rsid w:val="005256BB"/>
    <w:rsid w:val="00527435"/>
    <w:rsid w:val="00537BD3"/>
    <w:rsid w:val="00551804"/>
    <w:rsid w:val="0058209C"/>
    <w:rsid w:val="00586773"/>
    <w:rsid w:val="005918E6"/>
    <w:rsid w:val="005A2C0C"/>
    <w:rsid w:val="005B7B1C"/>
    <w:rsid w:val="005C7DF9"/>
    <w:rsid w:val="005E46A7"/>
    <w:rsid w:val="005F1158"/>
    <w:rsid w:val="005F7607"/>
    <w:rsid w:val="00621CA8"/>
    <w:rsid w:val="006240E8"/>
    <w:rsid w:val="0062431D"/>
    <w:rsid w:val="006801DA"/>
    <w:rsid w:val="00694224"/>
    <w:rsid w:val="0069505F"/>
    <w:rsid w:val="00696740"/>
    <w:rsid w:val="006A56EC"/>
    <w:rsid w:val="006D653E"/>
    <w:rsid w:val="006F7CE7"/>
    <w:rsid w:val="0070083C"/>
    <w:rsid w:val="007127F9"/>
    <w:rsid w:val="00712BFE"/>
    <w:rsid w:val="007446CD"/>
    <w:rsid w:val="00780D94"/>
    <w:rsid w:val="00785F8C"/>
    <w:rsid w:val="007A23F4"/>
    <w:rsid w:val="007A4841"/>
    <w:rsid w:val="007A7AAF"/>
    <w:rsid w:val="007C3DF1"/>
    <w:rsid w:val="007D3A10"/>
    <w:rsid w:val="007D51AB"/>
    <w:rsid w:val="008110C7"/>
    <w:rsid w:val="00812C9E"/>
    <w:rsid w:val="00826D71"/>
    <w:rsid w:val="008367F6"/>
    <w:rsid w:val="00844364"/>
    <w:rsid w:val="00887BC1"/>
    <w:rsid w:val="008A3D21"/>
    <w:rsid w:val="008E5C57"/>
    <w:rsid w:val="008E6C44"/>
    <w:rsid w:val="0092352F"/>
    <w:rsid w:val="00927F70"/>
    <w:rsid w:val="009400EC"/>
    <w:rsid w:val="00941D4A"/>
    <w:rsid w:val="0097007B"/>
    <w:rsid w:val="0099443E"/>
    <w:rsid w:val="009A297D"/>
    <w:rsid w:val="009E4595"/>
    <w:rsid w:val="009E47C4"/>
    <w:rsid w:val="009F504F"/>
    <w:rsid w:val="00A00BF0"/>
    <w:rsid w:val="00A07D81"/>
    <w:rsid w:val="00A27899"/>
    <w:rsid w:val="00A27964"/>
    <w:rsid w:val="00A71AD1"/>
    <w:rsid w:val="00A83D47"/>
    <w:rsid w:val="00AD3C98"/>
    <w:rsid w:val="00B05474"/>
    <w:rsid w:val="00B06CA1"/>
    <w:rsid w:val="00B633D5"/>
    <w:rsid w:val="00B64C60"/>
    <w:rsid w:val="00B6716D"/>
    <w:rsid w:val="00B7243A"/>
    <w:rsid w:val="00B87811"/>
    <w:rsid w:val="00BA0892"/>
    <w:rsid w:val="00BB6F1E"/>
    <w:rsid w:val="00BD4783"/>
    <w:rsid w:val="00BD54F1"/>
    <w:rsid w:val="00BE5CF1"/>
    <w:rsid w:val="00C05482"/>
    <w:rsid w:val="00C47C59"/>
    <w:rsid w:val="00C72A85"/>
    <w:rsid w:val="00C75A9A"/>
    <w:rsid w:val="00C82775"/>
    <w:rsid w:val="00CA3C6F"/>
    <w:rsid w:val="00CB493B"/>
    <w:rsid w:val="00CE154F"/>
    <w:rsid w:val="00D01156"/>
    <w:rsid w:val="00D01E08"/>
    <w:rsid w:val="00D125E8"/>
    <w:rsid w:val="00D17D46"/>
    <w:rsid w:val="00D27CA7"/>
    <w:rsid w:val="00D40F94"/>
    <w:rsid w:val="00D544E8"/>
    <w:rsid w:val="00D620B7"/>
    <w:rsid w:val="00D63CB5"/>
    <w:rsid w:val="00D713F7"/>
    <w:rsid w:val="00D92179"/>
    <w:rsid w:val="00DA450D"/>
    <w:rsid w:val="00E32B7E"/>
    <w:rsid w:val="00E35398"/>
    <w:rsid w:val="00E65AC6"/>
    <w:rsid w:val="00E805EB"/>
    <w:rsid w:val="00E81126"/>
    <w:rsid w:val="00E8253E"/>
    <w:rsid w:val="00EA1A12"/>
    <w:rsid w:val="00EA5953"/>
    <w:rsid w:val="00EA63AA"/>
    <w:rsid w:val="00ED0954"/>
    <w:rsid w:val="00ED158D"/>
    <w:rsid w:val="00ED302A"/>
    <w:rsid w:val="00EE07E4"/>
    <w:rsid w:val="00F058DE"/>
    <w:rsid w:val="00F103D0"/>
    <w:rsid w:val="00F14E88"/>
    <w:rsid w:val="00F742F6"/>
    <w:rsid w:val="00F87255"/>
    <w:rsid w:val="00FA2675"/>
    <w:rsid w:val="00FA570E"/>
    <w:rsid w:val="00FC2458"/>
    <w:rsid w:val="00FC642B"/>
    <w:rsid w:val="00FE2C09"/>
    <w:rsid w:val="00FF0086"/>
    <w:rsid w:val="00FF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2B"/>
    <w:pPr>
      <w:widowControl w:val="0"/>
      <w:jc w:val="both"/>
    </w:pPr>
  </w:style>
  <w:style w:type="paragraph" w:styleId="1">
    <w:name w:val="heading 1"/>
    <w:basedOn w:val="a"/>
    <w:next w:val="a"/>
    <w:link w:val="1Char"/>
    <w:uiPriority w:val="9"/>
    <w:qFormat/>
    <w:rsid w:val="00FC642B"/>
    <w:pPr>
      <w:keepNext/>
      <w:keepLines/>
      <w:numPr>
        <w:numId w:val="1"/>
      </w:numPr>
      <w:ind w:left="0"/>
      <w:outlineLvl w:val="0"/>
    </w:pPr>
    <w:rPr>
      <w:rFonts w:ascii="宋体" w:eastAsia="黑体" w:hAnsi="宋体"/>
      <w:bCs/>
      <w:kern w:val="44"/>
      <w:sz w:val="28"/>
      <w:szCs w:val="44"/>
    </w:rPr>
  </w:style>
  <w:style w:type="paragraph" w:styleId="2">
    <w:name w:val="heading 2"/>
    <w:basedOn w:val="a"/>
    <w:next w:val="a"/>
    <w:link w:val="2Char"/>
    <w:uiPriority w:val="9"/>
    <w:unhideWhenUsed/>
    <w:qFormat/>
    <w:rsid w:val="00D40F94"/>
    <w:pPr>
      <w:keepNext/>
      <w:keepLines/>
      <w:numPr>
        <w:numId w:val="6"/>
      </w:numPr>
      <w:spacing w:afterLines="50" w:after="50"/>
      <w:outlineLvl w:val="1"/>
    </w:pPr>
    <w:rPr>
      <w:rFonts w:asciiTheme="majorHAnsi" w:eastAsia="宋体" w:hAnsiTheme="majorHAnsi" w:cstheme="majorBidi"/>
      <w:b/>
      <w:bCs/>
      <w:sz w:val="24"/>
      <w:szCs w:val="32"/>
    </w:rPr>
  </w:style>
  <w:style w:type="paragraph" w:styleId="3">
    <w:name w:val="heading 3"/>
    <w:basedOn w:val="a"/>
    <w:next w:val="a"/>
    <w:link w:val="3Char"/>
    <w:uiPriority w:val="9"/>
    <w:unhideWhenUsed/>
    <w:qFormat/>
    <w:rsid w:val="00D40F94"/>
    <w:pPr>
      <w:keepNext/>
      <w:keepLines/>
      <w:numPr>
        <w:numId w:val="23"/>
      </w:numPr>
      <w:spacing w:afterLines="50" w:after="50"/>
      <w:outlineLvl w:val="2"/>
    </w:pPr>
    <w:rPr>
      <w:rFonts w:eastAsia="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D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6DDE"/>
    <w:rPr>
      <w:sz w:val="18"/>
      <w:szCs w:val="18"/>
    </w:rPr>
  </w:style>
  <w:style w:type="paragraph" w:styleId="a4">
    <w:name w:val="footer"/>
    <w:basedOn w:val="a"/>
    <w:link w:val="Char0"/>
    <w:uiPriority w:val="99"/>
    <w:unhideWhenUsed/>
    <w:rsid w:val="00176DDE"/>
    <w:pPr>
      <w:tabs>
        <w:tab w:val="center" w:pos="4153"/>
        <w:tab w:val="right" w:pos="8306"/>
      </w:tabs>
      <w:snapToGrid w:val="0"/>
      <w:jc w:val="left"/>
    </w:pPr>
    <w:rPr>
      <w:sz w:val="18"/>
      <w:szCs w:val="18"/>
    </w:rPr>
  </w:style>
  <w:style w:type="character" w:customStyle="1" w:styleId="Char0">
    <w:name w:val="页脚 Char"/>
    <w:basedOn w:val="a0"/>
    <w:link w:val="a4"/>
    <w:uiPriority w:val="99"/>
    <w:rsid w:val="00176DDE"/>
    <w:rPr>
      <w:sz w:val="18"/>
      <w:szCs w:val="18"/>
    </w:rPr>
  </w:style>
  <w:style w:type="character" w:customStyle="1" w:styleId="1Char">
    <w:name w:val="标题 1 Char"/>
    <w:basedOn w:val="a0"/>
    <w:link w:val="1"/>
    <w:uiPriority w:val="9"/>
    <w:rsid w:val="00FC642B"/>
    <w:rPr>
      <w:rFonts w:ascii="宋体" w:eastAsia="黑体" w:hAnsi="宋体"/>
      <w:bCs/>
      <w:kern w:val="44"/>
      <w:sz w:val="28"/>
      <w:szCs w:val="44"/>
    </w:rPr>
  </w:style>
  <w:style w:type="character" w:customStyle="1" w:styleId="2Char">
    <w:name w:val="标题 2 Char"/>
    <w:basedOn w:val="a0"/>
    <w:link w:val="2"/>
    <w:uiPriority w:val="9"/>
    <w:rsid w:val="00D40F94"/>
    <w:rPr>
      <w:rFonts w:asciiTheme="majorHAnsi" w:eastAsia="宋体" w:hAnsiTheme="majorHAnsi" w:cstheme="majorBidi"/>
      <w:b/>
      <w:bCs/>
      <w:sz w:val="24"/>
      <w:szCs w:val="32"/>
    </w:rPr>
  </w:style>
  <w:style w:type="paragraph" w:styleId="a5">
    <w:name w:val="List Paragraph"/>
    <w:basedOn w:val="a"/>
    <w:uiPriority w:val="34"/>
    <w:qFormat/>
    <w:rsid w:val="00176DDE"/>
    <w:pPr>
      <w:ind w:firstLineChars="200" w:firstLine="420"/>
    </w:pPr>
    <w:rPr>
      <w:rFonts w:ascii="宋体" w:eastAsia="宋体" w:hAnsi="宋体"/>
    </w:rPr>
  </w:style>
  <w:style w:type="paragraph" w:styleId="a6">
    <w:name w:val="Title"/>
    <w:basedOn w:val="a"/>
    <w:next w:val="a"/>
    <w:link w:val="Char1"/>
    <w:uiPriority w:val="10"/>
    <w:qFormat/>
    <w:rsid w:val="00FC642B"/>
    <w:pPr>
      <w:spacing w:before="240" w:after="60"/>
      <w:jc w:val="center"/>
      <w:outlineLvl w:val="0"/>
    </w:pPr>
    <w:rPr>
      <w:rFonts w:asciiTheme="majorHAnsi" w:eastAsia="黑体" w:hAnsiTheme="majorHAnsi" w:cstheme="majorBidi"/>
      <w:bCs/>
      <w:sz w:val="32"/>
      <w:szCs w:val="32"/>
    </w:rPr>
  </w:style>
  <w:style w:type="character" w:customStyle="1" w:styleId="Char1">
    <w:name w:val="标题 Char"/>
    <w:basedOn w:val="a0"/>
    <w:link w:val="a6"/>
    <w:uiPriority w:val="10"/>
    <w:rsid w:val="00FC642B"/>
    <w:rPr>
      <w:rFonts w:asciiTheme="majorHAnsi" w:eastAsia="黑体" w:hAnsiTheme="majorHAnsi" w:cstheme="majorBidi"/>
      <w:bCs/>
      <w:sz w:val="32"/>
      <w:szCs w:val="32"/>
    </w:rPr>
  </w:style>
  <w:style w:type="table" w:styleId="a7">
    <w:name w:val="Table Grid"/>
    <w:basedOn w:val="a1"/>
    <w:uiPriority w:val="59"/>
    <w:rsid w:val="00176DDE"/>
    <w:rPr>
      <w:rFonts w:ascii="宋体" w:eastAsia="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0F6632"/>
    <w:rPr>
      <w:color w:val="808080"/>
    </w:rPr>
  </w:style>
  <w:style w:type="paragraph" w:styleId="a9">
    <w:name w:val="caption"/>
    <w:basedOn w:val="a"/>
    <w:next w:val="a"/>
    <w:uiPriority w:val="35"/>
    <w:unhideWhenUsed/>
    <w:qFormat/>
    <w:rsid w:val="00C47C59"/>
    <w:rPr>
      <w:rFonts w:asciiTheme="majorHAnsi" w:eastAsia="黑体" w:hAnsiTheme="majorHAnsi" w:cstheme="majorBidi"/>
      <w:sz w:val="20"/>
      <w:szCs w:val="20"/>
    </w:rPr>
  </w:style>
  <w:style w:type="paragraph" w:styleId="aa">
    <w:name w:val="Body Text Indent"/>
    <w:basedOn w:val="a"/>
    <w:link w:val="Char2"/>
    <w:uiPriority w:val="99"/>
    <w:semiHidden/>
    <w:unhideWhenUsed/>
    <w:rsid w:val="00FC642B"/>
    <w:pPr>
      <w:spacing w:after="120"/>
      <w:ind w:leftChars="200" w:left="420"/>
    </w:pPr>
  </w:style>
  <w:style w:type="character" w:customStyle="1" w:styleId="Char2">
    <w:name w:val="正文文本缩进 Char"/>
    <w:basedOn w:val="a0"/>
    <w:link w:val="aa"/>
    <w:uiPriority w:val="99"/>
    <w:semiHidden/>
    <w:rsid w:val="00FC642B"/>
  </w:style>
  <w:style w:type="paragraph" w:styleId="20">
    <w:name w:val="Body Text First Indent 2"/>
    <w:basedOn w:val="aa"/>
    <w:link w:val="2Char0"/>
    <w:uiPriority w:val="99"/>
    <w:unhideWhenUsed/>
    <w:rsid w:val="00FC642B"/>
    <w:pPr>
      <w:ind w:firstLineChars="200" w:firstLine="420"/>
    </w:pPr>
  </w:style>
  <w:style w:type="character" w:customStyle="1" w:styleId="2Char0">
    <w:name w:val="正文首行缩进 2 Char"/>
    <w:basedOn w:val="Char2"/>
    <w:link w:val="20"/>
    <w:uiPriority w:val="99"/>
    <w:rsid w:val="00FC642B"/>
  </w:style>
  <w:style w:type="paragraph" w:styleId="ab">
    <w:name w:val="Body Text"/>
    <w:basedOn w:val="a"/>
    <w:link w:val="Char3"/>
    <w:uiPriority w:val="99"/>
    <w:semiHidden/>
    <w:unhideWhenUsed/>
    <w:rsid w:val="00FC642B"/>
    <w:pPr>
      <w:spacing w:after="120"/>
    </w:pPr>
  </w:style>
  <w:style w:type="character" w:customStyle="1" w:styleId="Char3">
    <w:name w:val="正文文本 Char"/>
    <w:basedOn w:val="a0"/>
    <w:link w:val="ab"/>
    <w:uiPriority w:val="99"/>
    <w:semiHidden/>
    <w:rsid w:val="00FC642B"/>
  </w:style>
  <w:style w:type="paragraph" w:styleId="ac">
    <w:name w:val="Body Text First Indent"/>
    <w:basedOn w:val="ab"/>
    <w:link w:val="Char4"/>
    <w:uiPriority w:val="99"/>
    <w:unhideWhenUsed/>
    <w:rsid w:val="004A446F"/>
    <w:pPr>
      <w:snapToGrid w:val="0"/>
      <w:spacing w:line="300" w:lineRule="auto"/>
      <w:ind w:firstLineChars="200" w:firstLine="200"/>
    </w:pPr>
    <w:rPr>
      <w:rFonts w:eastAsia="宋体"/>
      <w:sz w:val="24"/>
    </w:rPr>
  </w:style>
  <w:style w:type="character" w:customStyle="1" w:styleId="Char4">
    <w:name w:val="正文首行缩进 Char"/>
    <w:basedOn w:val="Char3"/>
    <w:link w:val="ac"/>
    <w:uiPriority w:val="99"/>
    <w:rsid w:val="004A446F"/>
    <w:rPr>
      <w:rFonts w:eastAsia="宋体"/>
      <w:sz w:val="24"/>
    </w:rPr>
  </w:style>
  <w:style w:type="character" w:customStyle="1" w:styleId="3Char">
    <w:name w:val="标题 3 Char"/>
    <w:basedOn w:val="a0"/>
    <w:link w:val="3"/>
    <w:uiPriority w:val="9"/>
    <w:rsid w:val="00D40F94"/>
    <w:rPr>
      <w:rFonts w:eastAsia="宋体"/>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2B"/>
    <w:pPr>
      <w:widowControl w:val="0"/>
      <w:jc w:val="both"/>
    </w:pPr>
  </w:style>
  <w:style w:type="paragraph" w:styleId="1">
    <w:name w:val="heading 1"/>
    <w:basedOn w:val="a"/>
    <w:next w:val="a"/>
    <w:link w:val="1Char"/>
    <w:uiPriority w:val="9"/>
    <w:qFormat/>
    <w:rsid w:val="00FC642B"/>
    <w:pPr>
      <w:keepNext/>
      <w:keepLines/>
      <w:numPr>
        <w:numId w:val="1"/>
      </w:numPr>
      <w:ind w:left="0"/>
      <w:outlineLvl w:val="0"/>
    </w:pPr>
    <w:rPr>
      <w:rFonts w:ascii="宋体" w:eastAsia="黑体" w:hAnsi="宋体"/>
      <w:bCs/>
      <w:kern w:val="44"/>
      <w:sz w:val="28"/>
      <w:szCs w:val="44"/>
    </w:rPr>
  </w:style>
  <w:style w:type="paragraph" w:styleId="2">
    <w:name w:val="heading 2"/>
    <w:basedOn w:val="a"/>
    <w:next w:val="a"/>
    <w:link w:val="2Char"/>
    <w:uiPriority w:val="9"/>
    <w:unhideWhenUsed/>
    <w:qFormat/>
    <w:rsid w:val="00D40F94"/>
    <w:pPr>
      <w:keepNext/>
      <w:keepLines/>
      <w:numPr>
        <w:numId w:val="6"/>
      </w:numPr>
      <w:spacing w:afterLines="50" w:after="50"/>
      <w:outlineLvl w:val="1"/>
    </w:pPr>
    <w:rPr>
      <w:rFonts w:asciiTheme="majorHAnsi" w:eastAsia="宋体" w:hAnsiTheme="majorHAnsi" w:cstheme="majorBidi"/>
      <w:b/>
      <w:bCs/>
      <w:sz w:val="24"/>
      <w:szCs w:val="32"/>
    </w:rPr>
  </w:style>
  <w:style w:type="paragraph" w:styleId="3">
    <w:name w:val="heading 3"/>
    <w:basedOn w:val="a"/>
    <w:next w:val="a"/>
    <w:link w:val="3Char"/>
    <w:uiPriority w:val="9"/>
    <w:unhideWhenUsed/>
    <w:qFormat/>
    <w:rsid w:val="00D40F94"/>
    <w:pPr>
      <w:keepNext/>
      <w:keepLines/>
      <w:numPr>
        <w:numId w:val="23"/>
      </w:numPr>
      <w:spacing w:afterLines="50" w:after="50"/>
      <w:outlineLvl w:val="2"/>
    </w:pPr>
    <w:rPr>
      <w:rFonts w:eastAsia="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D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6DDE"/>
    <w:rPr>
      <w:sz w:val="18"/>
      <w:szCs w:val="18"/>
    </w:rPr>
  </w:style>
  <w:style w:type="paragraph" w:styleId="a4">
    <w:name w:val="footer"/>
    <w:basedOn w:val="a"/>
    <w:link w:val="Char0"/>
    <w:uiPriority w:val="99"/>
    <w:unhideWhenUsed/>
    <w:rsid w:val="00176DDE"/>
    <w:pPr>
      <w:tabs>
        <w:tab w:val="center" w:pos="4153"/>
        <w:tab w:val="right" w:pos="8306"/>
      </w:tabs>
      <w:snapToGrid w:val="0"/>
      <w:jc w:val="left"/>
    </w:pPr>
    <w:rPr>
      <w:sz w:val="18"/>
      <w:szCs w:val="18"/>
    </w:rPr>
  </w:style>
  <w:style w:type="character" w:customStyle="1" w:styleId="Char0">
    <w:name w:val="页脚 Char"/>
    <w:basedOn w:val="a0"/>
    <w:link w:val="a4"/>
    <w:uiPriority w:val="99"/>
    <w:rsid w:val="00176DDE"/>
    <w:rPr>
      <w:sz w:val="18"/>
      <w:szCs w:val="18"/>
    </w:rPr>
  </w:style>
  <w:style w:type="character" w:customStyle="1" w:styleId="1Char">
    <w:name w:val="标题 1 Char"/>
    <w:basedOn w:val="a0"/>
    <w:link w:val="1"/>
    <w:uiPriority w:val="9"/>
    <w:rsid w:val="00FC642B"/>
    <w:rPr>
      <w:rFonts w:ascii="宋体" w:eastAsia="黑体" w:hAnsi="宋体"/>
      <w:bCs/>
      <w:kern w:val="44"/>
      <w:sz w:val="28"/>
      <w:szCs w:val="44"/>
    </w:rPr>
  </w:style>
  <w:style w:type="character" w:customStyle="1" w:styleId="2Char">
    <w:name w:val="标题 2 Char"/>
    <w:basedOn w:val="a0"/>
    <w:link w:val="2"/>
    <w:uiPriority w:val="9"/>
    <w:rsid w:val="00D40F94"/>
    <w:rPr>
      <w:rFonts w:asciiTheme="majorHAnsi" w:eastAsia="宋体" w:hAnsiTheme="majorHAnsi" w:cstheme="majorBidi"/>
      <w:b/>
      <w:bCs/>
      <w:sz w:val="24"/>
      <w:szCs w:val="32"/>
    </w:rPr>
  </w:style>
  <w:style w:type="paragraph" w:styleId="a5">
    <w:name w:val="List Paragraph"/>
    <w:basedOn w:val="a"/>
    <w:uiPriority w:val="34"/>
    <w:qFormat/>
    <w:rsid w:val="00176DDE"/>
    <w:pPr>
      <w:ind w:firstLineChars="200" w:firstLine="420"/>
    </w:pPr>
    <w:rPr>
      <w:rFonts w:ascii="宋体" w:eastAsia="宋体" w:hAnsi="宋体"/>
    </w:rPr>
  </w:style>
  <w:style w:type="paragraph" w:styleId="a6">
    <w:name w:val="Title"/>
    <w:basedOn w:val="a"/>
    <w:next w:val="a"/>
    <w:link w:val="Char1"/>
    <w:uiPriority w:val="10"/>
    <w:qFormat/>
    <w:rsid w:val="00FC642B"/>
    <w:pPr>
      <w:spacing w:before="240" w:after="60"/>
      <w:jc w:val="center"/>
      <w:outlineLvl w:val="0"/>
    </w:pPr>
    <w:rPr>
      <w:rFonts w:asciiTheme="majorHAnsi" w:eastAsia="黑体" w:hAnsiTheme="majorHAnsi" w:cstheme="majorBidi"/>
      <w:bCs/>
      <w:sz w:val="32"/>
      <w:szCs w:val="32"/>
    </w:rPr>
  </w:style>
  <w:style w:type="character" w:customStyle="1" w:styleId="Char1">
    <w:name w:val="标题 Char"/>
    <w:basedOn w:val="a0"/>
    <w:link w:val="a6"/>
    <w:uiPriority w:val="10"/>
    <w:rsid w:val="00FC642B"/>
    <w:rPr>
      <w:rFonts w:asciiTheme="majorHAnsi" w:eastAsia="黑体" w:hAnsiTheme="majorHAnsi" w:cstheme="majorBidi"/>
      <w:bCs/>
      <w:sz w:val="32"/>
      <w:szCs w:val="32"/>
    </w:rPr>
  </w:style>
  <w:style w:type="table" w:styleId="a7">
    <w:name w:val="Table Grid"/>
    <w:basedOn w:val="a1"/>
    <w:uiPriority w:val="59"/>
    <w:rsid w:val="00176DDE"/>
    <w:rPr>
      <w:rFonts w:ascii="宋体" w:eastAsia="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0F6632"/>
    <w:rPr>
      <w:color w:val="808080"/>
    </w:rPr>
  </w:style>
  <w:style w:type="paragraph" w:styleId="a9">
    <w:name w:val="caption"/>
    <w:basedOn w:val="a"/>
    <w:next w:val="a"/>
    <w:uiPriority w:val="35"/>
    <w:unhideWhenUsed/>
    <w:qFormat/>
    <w:rsid w:val="00C47C59"/>
    <w:rPr>
      <w:rFonts w:asciiTheme="majorHAnsi" w:eastAsia="黑体" w:hAnsiTheme="majorHAnsi" w:cstheme="majorBidi"/>
      <w:sz w:val="20"/>
      <w:szCs w:val="20"/>
    </w:rPr>
  </w:style>
  <w:style w:type="paragraph" w:styleId="aa">
    <w:name w:val="Body Text Indent"/>
    <w:basedOn w:val="a"/>
    <w:link w:val="Char2"/>
    <w:uiPriority w:val="99"/>
    <w:semiHidden/>
    <w:unhideWhenUsed/>
    <w:rsid w:val="00FC642B"/>
    <w:pPr>
      <w:spacing w:after="120"/>
      <w:ind w:leftChars="200" w:left="420"/>
    </w:pPr>
  </w:style>
  <w:style w:type="character" w:customStyle="1" w:styleId="Char2">
    <w:name w:val="正文文本缩进 Char"/>
    <w:basedOn w:val="a0"/>
    <w:link w:val="aa"/>
    <w:uiPriority w:val="99"/>
    <w:semiHidden/>
    <w:rsid w:val="00FC642B"/>
  </w:style>
  <w:style w:type="paragraph" w:styleId="20">
    <w:name w:val="Body Text First Indent 2"/>
    <w:basedOn w:val="aa"/>
    <w:link w:val="2Char0"/>
    <w:uiPriority w:val="99"/>
    <w:unhideWhenUsed/>
    <w:rsid w:val="00FC642B"/>
    <w:pPr>
      <w:ind w:firstLineChars="200" w:firstLine="420"/>
    </w:pPr>
  </w:style>
  <w:style w:type="character" w:customStyle="1" w:styleId="2Char0">
    <w:name w:val="正文首行缩进 2 Char"/>
    <w:basedOn w:val="Char2"/>
    <w:link w:val="20"/>
    <w:uiPriority w:val="99"/>
    <w:rsid w:val="00FC642B"/>
  </w:style>
  <w:style w:type="paragraph" w:styleId="ab">
    <w:name w:val="Body Text"/>
    <w:basedOn w:val="a"/>
    <w:link w:val="Char3"/>
    <w:uiPriority w:val="99"/>
    <w:semiHidden/>
    <w:unhideWhenUsed/>
    <w:rsid w:val="00FC642B"/>
    <w:pPr>
      <w:spacing w:after="120"/>
    </w:pPr>
  </w:style>
  <w:style w:type="character" w:customStyle="1" w:styleId="Char3">
    <w:name w:val="正文文本 Char"/>
    <w:basedOn w:val="a0"/>
    <w:link w:val="ab"/>
    <w:uiPriority w:val="99"/>
    <w:semiHidden/>
    <w:rsid w:val="00FC642B"/>
  </w:style>
  <w:style w:type="paragraph" w:styleId="ac">
    <w:name w:val="Body Text First Indent"/>
    <w:basedOn w:val="ab"/>
    <w:link w:val="Char4"/>
    <w:uiPriority w:val="99"/>
    <w:unhideWhenUsed/>
    <w:rsid w:val="004A446F"/>
    <w:pPr>
      <w:snapToGrid w:val="0"/>
      <w:spacing w:line="300" w:lineRule="auto"/>
      <w:ind w:firstLineChars="200" w:firstLine="200"/>
    </w:pPr>
    <w:rPr>
      <w:rFonts w:eastAsia="宋体"/>
      <w:sz w:val="24"/>
    </w:rPr>
  </w:style>
  <w:style w:type="character" w:customStyle="1" w:styleId="Char4">
    <w:name w:val="正文首行缩进 Char"/>
    <w:basedOn w:val="Char3"/>
    <w:link w:val="ac"/>
    <w:uiPriority w:val="99"/>
    <w:rsid w:val="004A446F"/>
    <w:rPr>
      <w:rFonts w:eastAsia="宋体"/>
      <w:sz w:val="24"/>
    </w:rPr>
  </w:style>
  <w:style w:type="character" w:customStyle="1" w:styleId="3Char">
    <w:name w:val="标题 3 Char"/>
    <w:basedOn w:val="a0"/>
    <w:link w:val="3"/>
    <w:uiPriority w:val="9"/>
    <w:rsid w:val="00D40F94"/>
    <w:rPr>
      <w:rFonts w:eastAsia="宋体"/>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88019">
      <w:bodyDiv w:val="1"/>
      <w:marLeft w:val="0"/>
      <w:marRight w:val="0"/>
      <w:marTop w:val="0"/>
      <w:marBottom w:val="0"/>
      <w:divBdr>
        <w:top w:val="none" w:sz="0" w:space="0" w:color="auto"/>
        <w:left w:val="none" w:sz="0" w:space="0" w:color="auto"/>
        <w:bottom w:val="none" w:sz="0" w:space="0" w:color="auto"/>
        <w:right w:val="none" w:sz="0" w:space="0" w:color="auto"/>
      </w:divBdr>
    </w:div>
    <w:div w:id="12937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gyb1</cp:lastModifiedBy>
  <cp:revision>2</cp:revision>
  <dcterms:created xsi:type="dcterms:W3CDTF">2021-06-24T01:40:00Z</dcterms:created>
  <dcterms:modified xsi:type="dcterms:W3CDTF">2021-06-24T01:40:00Z</dcterms:modified>
</cp:coreProperties>
</file>