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5DA" w:rsidRPr="00743C4E" w:rsidRDefault="001C36B7" w:rsidP="00743C4E">
      <w:pPr>
        <w:jc w:val="center"/>
        <w:rPr>
          <w:rFonts w:ascii="黑体" w:eastAsia="黑体" w:hAnsi="黑体"/>
          <w:bCs/>
          <w:sz w:val="28"/>
          <w:szCs w:val="28"/>
        </w:rPr>
      </w:pPr>
      <w:r w:rsidRPr="00AD0A57">
        <w:rPr>
          <w:rFonts w:ascii="黑体" w:eastAsia="黑体" w:hAnsi="黑体" w:hint="eastAsia"/>
          <w:bCs/>
          <w:sz w:val="32"/>
          <w:szCs w:val="32"/>
        </w:rPr>
        <w:t>《</w:t>
      </w:r>
      <w:r w:rsidR="0025233A">
        <w:rPr>
          <w:rFonts w:ascii="黑体" w:eastAsia="黑体" w:hAnsi="黑体" w:hint="eastAsia"/>
          <w:bCs/>
          <w:sz w:val="32"/>
          <w:szCs w:val="32"/>
        </w:rPr>
        <w:t>农林</w:t>
      </w:r>
      <w:r w:rsidR="00F5080A">
        <w:rPr>
          <w:rFonts w:ascii="黑体" w:eastAsia="黑体" w:hAnsi="黑体" w:hint="eastAsia"/>
          <w:bCs/>
          <w:sz w:val="32"/>
          <w:szCs w:val="32"/>
        </w:rPr>
        <w:t xml:space="preserve">设备  </w:t>
      </w:r>
      <w:r w:rsidRPr="00AD0A57">
        <w:rPr>
          <w:rFonts w:ascii="黑体" w:eastAsia="黑体" w:hAnsi="黑体" w:hint="eastAsia"/>
          <w:bCs/>
          <w:sz w:val="32"/>
          <w:szCs w:val="32"/>
        </w:rPr>
        <w:t>果园对靶喷药机》</w:t>
      </w:r>
      <w:r w:rsidR="00743C4E" w:rsidRPr="00AD0A57">
        <w:rPr>
          <w:rFonts w:ascii="黑体" w:eastAsia="黑体" w:hAnsi="黑体"/>
          <w:bCs/>
          <w:sz w:val="28"/>
          <w:szCs w:val="28"/>
        </w:rPr>
        <w:t>编制说明</w:t>
      </w:r>
    </w:p>
    <w:p w:rsidR="00743C4E" w:rsidRDefault="00743C4E">
      <w:pPr>
        <w:jc w:val="center"/>
        <w:rPr>
          <w:rFonts w:ascii="黑体" w:eastAsia="黑体" w:hAnsi="黑体"/>
          <w:bCs/>
          <w:sz w:val="28"/>
          <w:szCs w:val="28"/>
        </w:rPr>
      </w:pPr>
      <w:r>
        <w:rPr>
          <w:rFonts w:ascii="黑体" w:eastAsia="黑体" w:hAnsi="黑体" w:hint="eastAsia"/>
          <w:bCs/>
          <w:sz w:val="28"/>
          <w:szCs w:val="28"/>
        </w:rPr>
        <w:t>（征求意见稿）</w:t>
      </w:r>
    </w:p>
    <w:p w:rsidR="007615DA" w:rsidRPr="00CA27EF" w:rsidRDefault="001C36B7" w:rsidP="00CA27EF">
      <w:pPr>
        <w:adjustRightInd w:val="0"/>
        <w:snapToGrid w:val="0"/>
        <w:spacing w:afterLines="50" w:after="156" w:line="360" w:lineRule="auto"/>
        <w:ind w:firstLineChars="200" w:firstLine="482"/>
        <w:rPr>
          <w:rFonts w:ascii="宋体" w:hAnsi="宋体"/>
          <w:b/>
          <w:bCs/>
          <w:sz w:val="24"/>
          <w:szCs w:val="24"/>
        </w:rPr>
      </w:pPr>
      <w:r w:rsidRPr="00CA27EF">
        <w:rPr>
          <w:rFonts w:ascii="宋体" w:hAnsi="宋体"/>
          <w:b/>
          <w:bCs/>
          <w:sz w:val="24"/>
          <w:szCs w:val="24"/>
        </w:rPr>
        <w:t>一、工作简况</w:t>
      </w:r>
    </w:p>
    <w:p w:rsidR="007615DA" w:rsidRPr="00CA27EF" w:rsidRDefault="001C36B7" w:rsidP="00CA27EF">
      <w:pPr>
        <w:spacing w:line="360" w:lineRule="auto"/>
        <w:ind w:firstLineChars="200" w:firstLine="480"/>
        <w:rPr>
          <w:rFonts w:ascii="宋体" w:hAnsi="宋体"/>
          <w:sz w:val="24"/>
          <w:szCs w:val="24"/>
        </w:rPr>
      </w:pPr>
      <w:r w:rsidRPr="00CA27EF">
        <w:rPr>
          <w:rFonts w:ascii="宋体" w:hAnsi="宋体" w:hint="eastAsia"/>
          <w:sz w:val="24"/>
          <w:szCs w:val="24"/>
        </w:rPr>
        <w:t>（1）任务来源：</w:t>
      </w:r>
    </w:p>
    <w:p w:rsidR="00CA27EF" w:rsidRPr="00CA27EF" w:rsidRDefault="00CA27EF" w:rsidP="00CA27EF">
      <w:pPr>
        <w:pStyle w:val="a6"/>
        <w:adjustRightInd w:val="0"/>
        <w:snapToGrid w:val="0"/>
        <w:spacing w:line="360" w:lineRule="auto"/>
        <w:ind w:left="420" w:firstLineChars="0" w:firstLine="0"/>
        <w:jc w:val="left"/>
        <w:rPr>
          <w:rFonts w:ascii="宋体" w:hAnsi="宋体"/>
          <w:sz w:val="24"/>
          <w:szCs w:val="24"/>
        </w:rPr>
      </w:pPr>
      <w:r w:rsidRPr="00CA27EF">
        <w:rPr>
          <w:rStyle w:val="a5"/>
          <w:rFonts w:ascii="宋体" w:hAnsi="宋体" w:hint="eastAsia"/>
          <w:b w:val="0"/>
          <w:sz w:val="24"/>
          <w:szCs w:val="24"/>
          <w:shd w:val="clear" w:color="auto" w:fill="FFFFFF"/>
        </w:rPr>
        <w:t>中国农业机械</w:t>
      </w:r>
      <w:r w:rsidRPr="00CA27EF">
        <w:rPr>
          <w:rFonts w:ascii="宋体" w:hAnsi="宋体" w:cs="宋体" w:hint="eastAsia"/>
          <w:sz w:val="24"/>
          <w:szCs w:val="24"/>
        </w:rPr>
        <w:t>学会以</w:t>
      </w:r>
      <w:proofErr w:type="gramStart"/>
      <w:r w:rsidRPr="00CA27EF">
        <w:rPr>
          <w:rStyle w:val="a5"/>
          <w:rFonts w:ascii="宋体" w:hAnsi="宋体" w:hint="eastAsia"/>
          <w:sz w:val="24"/>
          <w:szCs w:val="24"/>
          <w:shd w:val="clear" w:color="auto" w:fill="FFFFFF"/>
        </w:rPr>
        <w:t>《</w:t>
      </w:r>
      <w:proofErr w:type="gramEnd"/>
      <w:r w:rsidRPr="00CA27EF">
        <w:rPr>
          <w:rFonts w:ascii="宋体" w:hAnsi="宋体" w:hint="eastAsia"/>
          <w:sz w:val="24"/>
          <w:szCs w:val="24"/>
        </w:rPr>
        <w:t>关于下达2019年第二批中国农业机械学会团体标准</w:t>
      </w:r>
    </w:p>
    <w:p w:rsidR="00CA27EF" w:rsidRPr="00F5080A" w:rsidRDefault="00CA27EF" w:rsidP="00CA27EF">
      <w:pPr>
        <w:adjustRightInd w:val="0"/>
        <w:snapToGrid w:val="0"/>
        <w:spacing w:line="360" w:lineRule="auto"/>
        <w:jc w:val="left"/>
        <w:rPr>
          <w:rFonts w:asciiTheme="minorEastAsia" w:eastAsiaTheme="minorEastAsia" w:hAnsiTheme="minorEastAsia"/>
          <w:sz w:val="24"/>
          <w:szCs w:val="24"/>
        </w:rPr>
      </w:pPr>
      <w:r w:rsidRPr="00CA27EF">
        <w:rPr>
          <w:rFonts w:ascii="宋体" w:hAnsi="宋体"/>
          <w:sz w:val="24"/>
          <w:szCs w:val="24"/>
        </w:rPr>
        <w:t>项目计划的通知</w:t>
      </w:r>
      <w:proofErr w:type="gramStart"/>
      <w:r w:rsidRPr="00CA27EF">
        <w:rPr>
          <w:rStyle w:val="a5"/>
          <w:rFonts w:ascii="宋体" w:hAnsi="宋体" w:hint="eastAsia"/>
          <w:b w:val="0"/>
          <w:sz w:val="24"/>
          <w:szCs w:val="24"/>
          <w:shd w:val="clear" w:color="auto" w:fill="FFFFFF"/>
        </w:rPr>
        <w:t>》</w:t>
      </w:r>
      <w:proofErr w:type="gramEnd"/>
      <w:r w:rsidRPr="00CA27EF">
        <w:rPr>
          <w:rStyle w:val="a5"/>
          <w:rFonts w:ascii="宋体" w:hAnsi="宋体" w:hint="eastAsia"/>
          <w:b w:val="0"/>
          <w:sz w:val="24"/>
          <w:szCs w:val="24"/>
          <w:shd w:val="clear" w:color="auto" w:fill="FFFFFF"/>
        </w:rPr>
        <w:t>下达了</w:t>
      </w:r>
      <w:r w:rsidRPr="00CA27EF">
        <w:rPr>
          <w:rFonts w:ascii="宋体" w:hAnsi="宋体" w:hint="eastAsia"/>
          <w:sz w:val="24"/>
          <w:szCs w:val="24"/>
        </w:rPr>
        <w:t>《</w:t>
      </w:r>
      <w:r w:rsidR="0025233A">
        <w:rPr>
          <w:rFonts w:asciiTheme="minorEastAsia" w:eastAsiaTheme="minorEastAsia" w:hAnsiTheme="minorEastAsia" w:hint="eastAsia"/>
          <w:color w:val="333333"/>
          <w:sz w:val="24"/>
          <w:szCs w:val="24"/>
          <w:shd w:val="clear" w:color="auto" w:fill="FFFFFF"/>
        </w:rPr>
        <w:t>农林</w:t>
      </w:r>
      <w:r w:rsidRPr="00CA27EF">
        <w:rPr>
          <w:rFonts w:asciiTheme="minorEastAsia" w:eastAsiaTheme="minorEastAsia" w:hAnsiTheme="minorEastAsia" w:hint="eastAsia"/>
          <w:color w:val="333333"/>
          <w:sz w:val="24"/>
          <w:szCs w:val="24"/>
          <w:shd w:val="clear" w:color="auto" w:fill="FFFFFF"/>
        </w:rPr>
        <w:t>设备</w:t>
      </w:r>
      <w:r w:rsidRPr="00331B2D">
        <w:rPr>
          <w:rFonts w:ascii="微软雅黑" w:eastAsia="微软雅黑" w:hAnsi="微软雅黑" w:hint="eastAsia"/>
          <w:color w:val="333333"/>
          <w:szCs w:val="21"/>
          <w:shd w:val="clear" w:color="auto" w:fill="FFFFFF"/>
        </w:rPr>
        <w:t> </w:t>
      </w:r>
      <w:r w:rsidRPr="00AD0A57">
        <w:rPr>
          <w:rFonts w:ascii="宋体" w:hAnsi="宋体" w:hint="eastAsia"/>
          <w:sz w:val="24"/>
          <w:szCs w:val="24"/>
        </w:rPr>
        <w:t>果园对靶喷药机</w:t>
      </w:r>
      <w:r w:rsidRPr="00331B2D">
        <w:rPr>
          <w:rFonts w:ascii="宋体" w:hAnsi="宋体" w:hint="eastAsia"/>
          <w:sz w:val="24"/>
          <w:szCs w:val="24"/>
        </w:rPr>
        <w:t>》</w:t>
      </w:r>
      <w:r w:rsidRPr="00331B2D">
        <w:rPr>
          <w:rFonts w:ascii="宋体" w:hAnsi="宋体" w:cs="宋体" w:hint="eastAsia"/>
          <w:kern w:val="0"/>
          <w:sz w:val="24"/>
          <w:szCs w:val="24"/>
        </w:rPr>
        <w:t>计划编</w:t>
      </w:r>
      <w:r>
        <w:rPr>
          <w:rFonts w:ascii="微软雅黑" w:eastAsia="微软雅黑" w:hAnsi="微软雅黑" w:hint="eastAsia"/>
          <w:color w:val="333333"/>
          <w:szCs w:val="21"/>
          <w:shd w:val="clear" w:color="auto" w:fill="FFFFFF"/>
        </w:rPr>
        <w:t>2019-016-T/NJ1195</w:t>
      </w:r>
      <w:r w:rsidRPr="00331B2D">
        <w:rPr>
          <w:rFonts w:ascii="宋体" w:hAnsi="宋体" w:cs="宋体" w:hint="eastAsia"/>
          <w:sz w:val="24"/>
          <w:szCs w:val="24"/>
        </w:rPr>
        <w:t>团体标准制定任务，本标准由全国农业机械标准化技术委员会归口，</w:t>
      </w:r>
      <w:r w:rsidRPr="00F5080A">
        <w:rPr>
          <w:rFonts w:asciiTheme="minorEastAsia" w:eastAsiaTheme="minorEastAsia" w:hAnsiTheme="minorEastAsia" w:hint="eastAsia"/>
          <w:color w:val="333333"/>
          <w:sz w:val="24"/>
          <w:szCs w:val="24"/>
          <w:shd w:val="clear" w:color="auto" w:fill="FFFFFF"/>
        </w:rPr>
        <w:t>北京农业智能装备技术研究中心、北京市农业机械试验鉴定推广站</w:t>
      </w:r>
      <w:r w:rsidRPr="00F5080A">
        <w:rPr>
          <w:rFonts w:asciiTheme="minorEastAsia" w:eastAsiaTheme="minorEastAsia" w:hAnsiTheme="minorEastAsia" w:cs="宋体" w:hint="eastAsia"/>
          <w:sz w:val="24"/>
          <w:szCs w:val="24"/>
        </w:rPr>
        <w:t>负责起草，</w:t>
      </w:r>
      <w:r w:rsidRPr="00F5080A">
        <w:rPr>
          <w:rFonts w:asciiTheme="minorEastAsia" w:eastAsiaTheme="minorEastAsia" w:hAnsiTheme="minorEastAsia" w:hint="eastAsia"/>
          <w:sz w:val="24"/>
          <w:szCs w:val="24"/>
        </w:rPr>
        <w:t>本标准按计划应于2020年完成</w:t>
      </w:r>
      <w:r w:rsidRPr="00F5080A">
        <w:rPr>
          <w:rFonts w:asciiTheme="minorEastAsia" w:eastAsiaTheme="minorEastAsia" w:hAnsiTheme="minorEastAsia" w:hint="eastAsia"/>
          <w:bCs/>
          <w:sz w:val="24"/>
          <w:szCs w:val="24"/>
        </w:rPr>
        <w:t>。</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（2）主要参加单位：</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主要参加起草的单位有北京农业智能装备技术研究中心、北京市农业机械试验鉴定推广站。主要起草人为王秀、翟长远、马伟、刘旺、邹伟、窦汉杰。起草人王</w:t>
      </w:r>
      <w:proofErr w:type="gramStart"/>
      <w:r w:rsidRPr="00AD0A57">
        <w:rPr>
          <w:rFonts w:ascii="宋体" w:hAnsi="宋体" w:hint="eastAsia"/>
          <w:sz w:val="24"/>
          <w:szCs w:val="24"/>
        </w:rPr>
        <w:t>秀负责</w:t>
      </w:r>
      <w:proofErr w:type="gramEnd"/>
      <w:r w:rsidRPr="00AD0A57">
        <w:rPr>
          <w:rFonts w:ascii="宋体" w:hAnsi="宋体" w:hint="eastAsia"/>
          <w:sz w:val="24"/>
          <w:szCs w:val="24"/>
        </w:rPr>
        <w:t>整体方案和技术路线确定，翟长远和马伟完成标准草案的起草和完善，刘旺、邹伟、窦汉杰负责企业需求调研和总结。</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（3）工作过程：</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按照项目任务书的要求，起草单位积极组织技术骨干成立标准起草工作组，研究和制定了标准编制工作方案，并按照团体标准制定要求展开标准编制工作。</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从2010年开始，工作组一致从事果园对靶喷雾技术研究和推广工作，开发了4类多种型号的果园对靶喷药机。目前国内江苏、山东、河北等近百家企业开始生产果园对靶施药机。</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起草工作组王</w:t>
      </w:r>
      <w:proofErr w:type="gramStart"/>
      <w:r w:rsidRPr="00AD0A57">
        <w:rPr>
          <w:rFonts w:ascii="宋体" w:hAnsi="宋体" w:hint="eastAsia"/>
          <w:sz w:val="24"/>
          <w:szCs w:val="24"/>
        </w:rPr>
        <w:t>秀负责</w:t>
      </w:r>
      <w:proofErr w:type="gramEnd"/>
      <w:r w:rsidRPr="00AD0A57">
        <w:rPr>
          <w:rFonts w:ascii="宋体" w:hAnsi="宋体" w:hint="eastAsia"/>
          <w:sz w:val="24"/>
          <w:szCs w:val="24"/>
        </w:rPr>
        <w:t>多次召开工作组和工作组扩大会议共同讨论制定了整体方案和技术路线；翟长远和马伟共同完成标准草案的起草，并经过王秀和工作组其他成员一起修改和完善；刘旺、邹伟、窦汉杰负责企业需求调研和总结，标准组先后进入中国农业科学院植保所、中国农业大学、北京市植物保护站、南通黄海药械有限公司等进行技术调研和座谈，收集对标准的意见反馈，听取有关建议和意见，最终，形成标准文本。</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主要参照标准有：</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JB/T 7875 植物保护机械 术语</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lastRenderedPageBreak/>
        <w:t>JB/T 8574-2013 农机具产品 型号编制规则</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GB 7247.1-2012 激光产品的安全 第1部分:设备分类、要求</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NY/T 1276-2007 农药安全使用规范总则</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GB/T 17997-2008 农药喷雾机(器)田间操作规程及喷洒质量评定</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GB/T 20183.2-2006 植物保护机械 喷雾设备</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GB/T 20083.1-2006 风送农业喷雾机</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 xml:space="preserve">NY/T 992-2006 </w:t>
      </w:r>
      <w:proofErr w:type="gramStart"/>
      <w:r w:rsidRPr="00AD0A57">
        <w:rPr>
          <w:rFonts w:ascii="宋体" w:hAnsi="宋体" w:hint="eastAsia"/>
          <w:sz w:val="24"/>
          <w:szCs w:val="24"/>
        </w:rPr>
        <w:t>风送式果园</w:t>
      </w:r>
      <w:proofErr w:type="gramEnd"/>
      <w:r w:rsidRPr="00AD0A57">
        <w:rPr>
          <w:rFonts w:ascii="宋体" w:hAnsi="宋体" w:hint="eastAsia"/>
          <w:sz w:val="24"/>
          <w:szCs w:val="24"/>
        </w:rPr>
        <w:t>喷雾机 作业质量</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JB/T 9782 -2014 植物保护机械 通用试验方法</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GB/T 10396-2006 农林拖拉机和机械草坪和园艺动力机械安全标志和危险图形 总则</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GB/T 13306-2011 标牌</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2019年5月25日，修改形成征求意见稿。2019年6月15日开始，征求意见汇总处理，修改形成送审稿。预计10月上旬完成。</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sz w:val="24"/>
          <w:szCs w:val="24"/>
        </w:rPr>
        <w:t>二、标准编制原则</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sz w:val="24"/>
          <w:szCs w:val="24"/>
        </w:rPr>
        <w:t>编制标准遵循的主要原则。</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本标准按照GB T 1.1-2009 标准化工作导则第1部分_ 标准的结构和编写给出的规则起草。起草的过程中，主要遵循原则是以企业需求为向导，以国际标准为目标。</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sz w:val="24"/>
          <w:szCs w:val="24"/>
        </w:rPr>
        <w:t>三、标准主要内容的确定</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sz w:val="24"/>
          <w:szCs w:val="24"/>
        </w:rPr>
        <w:t>说明标准主要技术内容的确定依据。包括标准技术指标、参数、公式、性能要求、试验 方法、检验规则等的论据，解决的主要问题；主要试验（或验证）情况分析；修订标准时应 列出与原标准的主要差异和水平对比。</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sz w:val="24"/>
          <w:szCs w:val="24"/>
        </w:rPr>
        <w:t>标准主要技术内容</w:t>
      </w:r>
      <w:r w:rsidRPr="00AD0A57">
        <w:rPr>
          <w:rFonts w:ascii="宋体" w:hAnsi="宋体" w:hint="eastAsia"/>
          <w:sz w:val="24"/>
          <w:szCs w:val="24"/>
        </w:rPr>
        <w:t>的确定主要是参照目前主要生产厂家的技术标准，按照农业部的农艺操作规范设计内容。</w:t>
      </w:r>
      <w:r w:rsidRPr="00AD0A57">
        <w:rPr>
          <w:rFonts w:ascii="宋体" w:hAnsi="宋体"/>
          <w:sz w:val="24"/>
          <w:szCs w:val="24"/>
        </w:rPr>
        <w:t>标准技术指标、参数、公式、性能要求、试验 方法、检验规则等</w:t>
      </w:r>
      <w:r w:rsidRPr="00AD0A57">
        <w:rPr>
          <w:rFonts w:ascii="宋体" w:hAnsi="宋体" w:hint="eastAsia"/>
          <w:sz w:val="24"/>
          <w:szCs w:val="24"/>
        </w:rPr>
        <w:t>参照农业部行业标准对应条款进行修订。喷药机探测控制所用激光类传感器安全标准，符合GB 7247.1-2012标准规定的1类激光产品，其他类型传感器应符合同等级别人眼保护标准。喷药操作人员安全要求配备防护口罩、防护靴和防护服，农药喷施需要遵守NY/T 1276-2007标准规定的安全使用规范。靶标特征信息量化等级根据果园植保经验提出并确定。喷药机靶标位置探测误差</w:t>
      </w:r>
      <w:r w:rsidRPr="00AD0A57">
        <w:rPr>
          <w:rFonts w:ascii="宋体" w:hAnsi="宋体" w:hint="eastAsia"/>
          <w:sz w:val="24"/>
          <w:szCs w:val="24"/>
        </w:rPr>
        <w:lastRenderedPageBreak/>
        <w:t>不大于20cm或者不大于树冠宽度的10%。靶标探测距离建议可调节，不可调节的探测距离应介于0.5个行距和1.5个行距之间。该参数根据喷药精度需求，并经过多种机型田间试验验证确定。</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sz w:val="24"/>
          <w:szCs w:val="24"/>
        </w:rPr>
        <w:t>四、与国际、国外同类标准水平的对比情况</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sz w:val="24"/>
          <w:szCs w:val="24"/>
        </w:rPr>
        <w:t>与国际、国外同类标准水平的对比情况，国内外关键指标对比分析或与测试的国外样品、样机的相关数据对比情况。</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标准达到国际标准水平，同国内农业部标准相对应和互补，没有冲突的条款。</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sz w:val="24"/>
          <w:szCs w:val="24"/>
        </w:rPr>
        <w:t>五、与国内相关标准的关系</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sz w:val="24"/>
          <w:szCs w:val="24"/>
        </w:rPr>
        <w:t>与现行相关法律、法规、规章及相关标准，特别是强制性标准、相关联标准的协调性。</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符合相关法律的要求。关键部件如果园喷药机传感器符合GB 7247.1-2012 激光产品的安全 第1部分:设备分类、要求。测试方法参照JB/T 9782 -2014 植物保护机械 通用试验方法，并根据</w:t>
      </w:r>
      <w:proofErr w:type="gramStart"/>
      <w:r w:rsidRPr="00AD0A57">
        <w:rPr>
          <w:rFonts w:ascii="宋体" w:hAnsi="宋体" w:hint="eastAsia"/>
          <w:sz w:val="24"/>
          <w:szCs w:val="24"/>
        </w:rPr>
        <w:t>本设备</w:t>
      </w:r>
      <w:proofErr w:type="gramEnd"/>
      <w:r w:rsidRPr="00AD0A57">
        <w:rPr>
          <w:rFonts w:ascii="宋体" w:hAnsi="宋体" w:hint="eastAsia"/>
          <w:sz w:val="24"/>
          <w:szCs w:val="24"/>
        </w:rPr>
        <w:t>特点重新设计试验方法。</w:t>
      </w:r>
    </w:p>
    <w:p w:rsidR="007615DA" w:rsidRPr="00AD0A57" w:rsidRDefault="007615DA" w:rsidP="00CA27EF">
      <w:pPr>
        <w:spacing w:line="360" w:lineRule="auto"/>
        <w:ind w:firstLineChars="200" w:firstLine="480"/>
        <w:rPr>
          <w:rFonts w:ascii="宋体" w:hAnsi="宋体"/>
          <w:sz w:val="24"/>
          <w:szCs w:val="24"/>
        </w:rPr>
      </w:pP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sz w:val="24"/>
          <w:szCs w:val="24"/>
        </w:rPr>
        <w:t>六、重大分歧意见的处理经过和依据</w:t>
      </w:r>
    </w:p>
    <w:p w:rsidR="007615DA" w:rsidRPr="00AD0A57" w:rsidRDefault="001C36B7" w:rsidP="00CA27EF">
      <w:pPr>
        <w:spacing w:line="360" w:lineRule="auto"/>
        <w:ind w:firstLineChars="200" w:firstLine="480"/>
        <w:rPr>
          <w:rFonts w:ascii="宋体" w:hAnsi="宋体"/>
          <w:sz w:val="24"/>
          <w:szCs w:val="24"/>
        </w:rPr>
      </w:pPr>
      <w:bookmarkStart w:id="0" w:name="_GoBack"/>
      <w:bookmarkEnd w:id="0"/>
      <w:r w:rsidRPr="00AD0A57">
        <w:rPr>
          <w:rFonts w:ascii="宋体" w:hAnsi="宋体" w:hint="eastAsia"/>
          <w:sz w:val="24"/>
          <w:szCs w:val="24"/>
        </w:rPr>
        <w:t>无</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sz w:val="24"/>
          <w:szCs w:val="24"/>
        </w:rPr>
        <w:t>七、其他</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sz w:val="24"/>
          <w:szCs w:val="24"/>
        </w:rPr>
        <w:t>如标准涉及专利，应有明确的知识产权说明；实施标准的要求和措施建议等。</w:t>
      </w:r>
    </w:p>
    <w:p w:rsidR="007615DA" w:rsidRPr="00AD0A57" w:rsidRDefault="001C36B7" w:rsidP="00CA27EF">
      <w:pPr>
        <w:spacing w:line="360" w:lineRule="auto"/>
        <w:ind w:firstLineChars="200" w:firstLine="480"/>
        <w:rPr>
          <w:rFonts w:ascii="宋体" w:hAnsi="宋体"/>
          <w:sz w:val="24"/>
          <w:szCs w:val="24"/>
        </w:rPr>
      </w:pPr>
      <w:r w:rsidRPr="00AD0A57">
        <w:rPr>
          <w:rFonts w:ascii="宋体" w:hAnsi="宋体" w:hint="eastAsia"/>
          <w:sz w:val="24"/>
          <w:szCs w:val="24"/>
        </w:rPr>
        <w:t>无</w:t>
      </w:r>
    </w:p>
    <w:p w:rsidR="007615DA" w:rsidRPr="00AD0A57" w:rsidRDefault="007615DA" w:rsidP="00CA27EF">
      <w:pPr>
        <w:spacing w:line="360" w:lineRule="auto"/>
        <w:ind w:firstLineChars="200" w:firstLine="480"/>
        <w:rPr>
          <w:rFonts w:ascii="宋体" w:hAnsi="宋体"/>
          <w:sz w:val="24"/>
          <w:szCs w:val="24"/>
        </w:rPr>
      </w:pPr>
    </w:p>
    <w:sectPr w:rsidR="007615DA" w:rsidRPr="00AD0A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732" w:rsidRDefault="006C1732" w:rsidP="00AD0A57">
      <w:r>
        <w:separator/>
      </w:r>
    </w:p>
  </w:endnote>
  <w:endnote w:type="continuationSeparator" w:id="0">
    <w:p w:rsidR="006C1732" w:rsidRDefault="006C1732" w:rsidP="00AD0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732" w:rsidRDefault="006C1732" w:rsidP="00AD0A57">
      <w:r>
        <w:separator/>
      </w:r>
    </w:p>
  </w:footnote>
  <w:footnote w:type="continuationSeparator" w:id="0">
    <w:p w:rsidR="006C1732" w:rsidRDefault="006C1732" w:rsidP="00AD0A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EF2"/>
    <w:rsid w:val="00025C8A"/>
    <w:rsid w:val="000D3AAE"/>
    <w:rsid w:val="001C36B7"/>
    <w:rsid w:val="001E3AE1"/>
    <w:rsid w:val="0025233A"/>
    <w:rsid w:val="00412231"/>
    <w:rsid w:val="0047172A"/>
    <w:rsid w:val="00531E9E"/>
    <w:rsid w:val="006C1732"/>
    <w:rsid w:val="006E4351"/>
    <w:rsid w:val="006E5122"/>
    <w:rsid w:val="006F13A6"/>
    <w:rsid w:val="00743C4E"/>
    <w:rsid w:val="007615DA"/>
    <w:rsid w:val="007A2555"/>
    <w:rsid w:val="00847476"/>
    <w:rsid w:val="009A4AA6"/>
    <w:rsid w:val="009D6541"/>
    <w:rsid w:val="009F3EF2"/>
    <w:rsid w:val="00AC68AB"/>
    <w:rsid w:val="00AD0A57"/>
    <w:rsid w:val="00CA27EF"/>
    <w:rsid w:val="00D90F2C"/>
    <w:rsid w:val="00EC70E8"/>
    <w:rsid w:val="00EE1ED7"/>
    <w:rsid w:val="00F155A8"/>
    <w:rsid w:val="00F17B63"/>
    <w:rsid w:val="00F5080A"/>
    <w:rsid w:val="0BC748FB"/>
    <w:rsid w:val="210661F7"/>
    <w:rsid w:val="24953FAD"/>
    <w:rsid w:val="463627C2"/>
    <w:rsid w:val="4C4C5D9A"/>
    <w:rsid w:val="78347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styleId="a5">
    <w:name w:val="Strong"/>
    <w:uiPriority w:val="22"/>
    <w:qFormat/>
    <w:rsid w:val="00CA27EF"/>
    <w:rPr>
      <w:b/>
      <w:bCs/>
    </w:rPr>
  </w:style>
  <w:style w:type="paragraph" w:styleId="a6">
    <w:name w:val="List Paragraph"/>
    <w:basedOn w:val="a"/>
    <w:uiPriority w:val="99"/>
    <w:rsid w:val="00CA27E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styleId="a5">
    <w:name w:val="Strong"/>
    <w:uiPriority w:val="22"/>
    <w:qFormat/>
    <w:rsid w:val="00CA27EF"/>
    <w:rPr>
      <w:b/>
      <w:bCs/>
    </w:rPr>
  </w:style>
  <w:style w:type="paragraph" w:styleId="a6">
    <w:name w:val="List Paragraph"/>
    <w:basedOn w:val="a"/>
    <w:uiPriority w:val="99"/>
    <w:rsid w:val="00CA27E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296</Words>
  <Characters>1688</Characters>
  <Application>Microsoft Office Word</Application>
  <DocSecurity>0</DocSecurity>
  <Lines>14</Lines>
  <Paragraphs>3</Paragraphs>
  <ScaleCrop>false</ScaleCrop>
  <Company>神州网信技术有限公司</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政府版用户</dc:creator>
  <cp:lastModifiedBy>YZW</cp:lastModifiedBy>
  <cp:revision>12</cp:revision>
  <dcterms:created xsi:type="dcterms:W3CDTF">2019-07-31T00:55:00Z</dcterms:created>
  <dcterms:modified xsi:type="dcterms:W3CDTF">2020-03-30T01:27:00Z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