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88" w:rsidRDefault="0069018C">
      <w:pPr>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Times New Roman" w:cs="Times New Roman" w:hint="eastAsia"/>
          <w:sz w:val="32"/>
          <w:szCs w:val="32"/>
        </w:rPr>
        <w:t>茶叶压扁机</w:t>
      </w:r>
      <w:r>
        <w:rPr>
          <w:rFonts w:ascii="Times New Roman" w:eastAsia="黑体" w:hAnsi="Times New Roman" w:cs="Times New Roman"/>
          <w:sz w:val="32"/>
          <w:szCs w:val="32"/>
        </w:rPr>
        <w:t>》</w:t>
      </w:r>
      <w:r>
        <w:rPr>
          <w:rFonts w:ascii="Times New Roman" w:eastAsia="黑体" w:hAnsi="Times New Roman" w:cs="Times New Roman" w:hint="eastAsia"/>
          <w:sz w:val="32"/>
          <w:szCs w:val="32"/>
        </w:rPr>
        <w:t>征求意见</w:t>
      </w:r>
      <w:r>
        <w:rPr>
          <w:rFonts w:ascii="Times New Roman" w:eastAsia="黑体" w:hAnsi="Times New Roman" w:cs="Times New Roman"/>
          <w:sz w:val="32"/>
          <w:szCs w:val="32"/>
        </w:rPr>
        <w:t>稿编制说明</w:t>
      </w:r>
    </w:p>
    <w:p w:rsidR="00E93A88" w:rsidRDefault="0069018C">
      <w:pPr>
        <w:pStyle w:val="aa"/>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工作简介</w:t>
      </w:r>
    </w:p>
    <w:p w:rsidR="00E93A88" w:rsidRDefault="0069018C">
      <w:pPr>
        <w:pStyle w:val="aa"/>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任务来源</w:t>
      </w:r>
    </w:p>
    <w:p w:rsidR="00E93A88" w:rsidRDefault="0069018C" w:rsidP="00177C0E">
      <w:pPr>
        <w:pStyle w:val="aa"/>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工</w:t>
      </w:r>
      <w:proofErr w:type="gramStart"/>
      <w:r>
        <w:rPr>
          <w:rFonts w:ascii="Times New Roman" w:hAnsi="Times New Roman" w:cs="Times New Roman" w:hint="eastAsia"/>
          <w:sz w:val="24"/>
          <w:szCs w:val="24"/>
        </w:rPr>
        <w:t>信厅科函</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2019</w:t>
      </w:r>
      <w:r>
        <w:rPr>
          <w:rFonts w:ascii="Times New Roman" w:hAnsi="Times New Roman" w:cs="Times New Roman" w:hint="eastAsia"/>
          <w:sz w:val="24"/>
          <w:szCs w:val="24"/>
        </w:rPr>
        <w:t>〕</w:t>
      </w:r>
      <w:r>
        <w:rPr>
          <w:rFonts w:ascii="Times New Roman" w:hAnsi="Times New Roman" w:cs="Times New Roman" w:hint="eastAsia"/>
          <w:sz w:val="24"/>
          <w:szCs w:val="24"/>
        </w:rPr>
        <w:t>126</w:t>
      </w:r>
      <w:r>
        <w:rPr>
          <w:rFonts w:ascii="Times New Roman" w:hAnsi="Times New Roman" w:cs="Times New Roman" w:hint="eastAsia"/>
          <w:sz w:val="24"/>
          <w:szCs w:val="24"/>
        </w:rPr>
        <w:t>号</w:t>
      </w:r>
      <w:r>
        <w:rPr>
          <w:rFonts w:ascii="Times New Roman" w:hAnsi="Times New Roman" w:cs="Times New Roman"/>
          <w:sz w:val="24"/>
          <w:szCs w:val="24"/>
        </w:rPr>
        <w:t>文下达了行业标准《</w:t>
      </w:r>
      <w:r>
        <w:rPr>
          <w:rFonts w:ascii="Times New Roman" w:hAnsi="Times New Roman" w:cs="Times New Roman" w:hint="eastAsia"/>
          <w:sz w:val="24"/>
          <w:szCs w:val="24"/>
        </w:rPr>
        <w:t>茶叶压扁机</w:t>
      </w:r>
      <w:r>
        <w:rPr>
          <w:rFonts w:ascii="Times New Roman" w:hAnsi="Times New Roman" w:cs="Times New Roman"/>
          <w:sz w:val="24"/>
          <w:szCs w:val="24"/>
        </w:rPr>
        <w:t>》的标准</w:t>
      </w:r>
      <w:r>
        <w:rPr>
          <w:rFonts w:ascii="Times New Roman" w:hAnsi="Times New Roman" w:cs="Times New Roman" w:hint="eastAsia"/>
          <w:sz w:val="24"/>
          <w:szCs w:val="24"/>
        </w:rPr>
        <w:t>制</w:t>
      </w:r>
      <w:r>
        <w:rPr>
          <w:rFonts w:ascii="Times New Roman" w:hAnsi="Times New Roman" w:cs="Times New Roman"/>
          <w:sz w:val="24"/>
          <w:szCs w:val="24"/>
        </w:rPr>
        <w:t>修订任务，计划</w:t>
      </w:r>
      <w:r>
        <w:rPr>
          <w:rFonts w:ascii="Times New Roman" w:hAnsi="Times New Roman" w:cs="Times New Roman" w:hint="eastAsia"/>
          <w:sz w:val="24"/>
          <w:szCs w:val="24"/>
        </w:rPr>
        <w:t>编</w:t>
      </w:r>
      <w:r>
        <w:rPr>
          <w:rFonts w:ascii="Times New Roman" w:hAnsi="Times New Roman" w:cs="Times New Roman"/>
          <w:sz w:val="24"/>
          <w:szCs w:val="24"/>
        </w:rPr>
        <w:t>号为</w:t>
      </w:r>
      <w:r>
        <w:rPr>
          <w:rFonts w:ascii="Times New Roman" w:hAnsi="Times New Roman" w:cs="Times New Roman" w:hint="eastAsia"/>
          <w:sz w:val="24"/>
          <w:szCs w:val="24"/>
        </w:rPr>
        <w:t>2019-0633T-AH</w:t>
      </w:r>
      <w:r>
        <w:rPr>
          <w:rFonts w:ascii="Times New Roman" w:hAnsi="Times New Roman" w:cs="Times New Roman" w:hint="eastAsia"/>
          <w:sz w:val="24"/>
          <w:szCs w:val="24"/>
        </w:rPr>
        <w:t>，计划要求</w:t>
      </w: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sz w:val="24"/>
          <w:szCs w:val="24"/>
        </w:rPr>
        <w:t>完成，技术归口单位为</w:t>
      </w:r>
      <w:r>
        <w:rPr>
          <w:rFonts w:ascii="Times New Roman" w:hAnsi="Times New Roman" w:cs="Times New Roman" w:hint="eastAsia"/>
          <w:sz w:val="24"/>
          <w:szCs w:val="24"/>
        </w:rPr>
        <w:t>全国农业机械标准化技术委员会，</w:t>
      </w:r>
      <w:r>
        <w:rPr>
          <w:rFonts w:ascii="Times New Roman" w:hAnsi="Times New Roman" w:cs="Times New Roman"/>
          <w:sz w:val="24"/>
          <w:szCs w:val="24"/>
        </w:rPr>
        <w:t>负责起草单位</w:t>
      </w:r>
      <w:r>
        <w:rPr>
          <w:rFonts w:ascii="Times New Roman" w:hAnsi="Times New Roman" w:cs="Times New Roman" w:hint="eastAsia"/>
          <w:sz w:val="24"/>
          <w:szCs w:val="24"/>
        </w:rPr>
        <w:t>为安徽友力节能设备有限公司。</w:t>
      </w:r>
    </w:p>
    <w:p w:rsidR="00E93A88" w:rsidRDefault="0069018C">
      <w:pPr>
        <w:pStyle w:val="aa"/>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工作过程</w:t>
      </w:r>
    </w:p>
    <w:p w:rsidR="00E93A88" w:rsidRDefault="0069018C" w:rsidP="00177C0E">
      <w:pPr>
        <w:pStyle w:val="aa"/>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项目下达后，按照项目任务书的要求，牵头起草单位安徽友力节能设备有限公司积极组织技术骨干成立标准起草工作组，研究和制定了标准编制工作方案，并按照农业行业标准制修订要求展开标准修订工作。</w:t>
      </w:r>
      <w:r>
        <w:rPr>
          <w:rFonts w:ascii="Times New Roman" w:hAnsi="Times New Roman" w:cs="Times New Roman" w:hint="eastAsia"/>
          <w:sz w:val="24"/>
          <w:szCs w:val="24"/>
        </w:rPr>
        <w:t xml:space="preserve"> </w:t>
      </w:r>
    </w:p>
    <w:p w:rsidR="00E93A88" w:rsidRDefault="0069018C" w:rsidP="00177C0E">
      <w:pPr>
        <w:pStyle w:val="aa"/>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１、成立标准起草工作组，制定工作方案，启动标准项目</w:t>
      </w:r>
    </w:p>
    <w:p w:rsidR="00E93A88" w:rsidRDefault="0069018C" w:rsidP="00177C0E">
      <w:pPr>
        <w:pStyle w:val="aa"/>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标准项目下达后，组织技术骨干成立了标准起草工作组，工作组成员具有较丰富的农业专业知识和实践经验，熟悉业务，了解标准化工作的相关规定并具有较强的文字表达能力。工作组成立后，制定了工作计划，明确了内部分工及进度要求，责任落实到人。</w:t>
      </w:r>
      <w:r>
        <w:rPr>
          <w:rFonts w:ascii="Times New Roman" w:hAnsi="Times New Roman" w:cs="Times New Roman" w:hint="eastAsia"/>
          <w:sz w:val="24"/>
          <w:szCs w:val="24"/>
        </w:rPr>
        <w:t xml:space="preserve"> </w:t>
      </w:r>
    </w:p>
    <w:p w:rsidR="00E93A88" w:rsidRDefault="0069018C" w:rsidP="009A31C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工作组由以下</w:t>
      </w:r>
      <w:r>
        <w:rPr>
          <w:rFonts w:ascii="Times New Roman" w:hAnsi="Times New Roman" w:cs="Times New Roman" w:hint="eastAsia"/>
          <w:sz w:val="24"/>
          <w:szCs w:val="24"/>
        </w:rPr>
        <w:t>单位</w:t>
      </w:r>
      <w:r>
        <w:rPr>
          <w:rFonts w:ascii="Times New Roman" w:hAnsi="Times New Roman" w:cs="Times New Roman"/>
          <w:sz w:val="24"/>
          <w:szCs w:val="24"/>
        </w:rPr>
        <w:t>组成：</w:t>
      </w:r>
      <w:r>
        <w:rPr>
          <w:rFonts w:ascii="Times New Roman" w:hAnsi="Times New Roman" w:cs="Times New Roman" w:hint="eastAsia"/>
          <w:sz w:val="24"/>
          <w:szCs w:val="24"/>
        </w:rPr>
        <w:t>安徽友力节能设备有限公司</w:t>
      </w:r>
      <w:r>
        <w:rPr>
          <w:rFonts w:ascii="Times New Roman" w:hAnsi="Times New Roman" w:cs="Times New Roman"/>
          <w:sz w:val="24"/>
          <w:szCs w:val="24"/>
        </w:rPr>
        <w:t>、安徽工匠质量标准研究院有限公司</w:t>
      </w:r>
      <w:r>
        <w:rPr>
          <w:rFonts w:ascii="Times New Roman" w:hAnsi="Times New Roman" w:cs="Times New Roman" w:hint="eastAsia"/>
          <w:sz w:val="24"/>
          <w:szCs w:val="24"/>
        </w:rPr>
        <w:t>、安徽省农机鉴定站、</w:t>
      </w:r>
      <w:r w:rsidRPr="009A31CB">
        <w:rPr>
          <w:rFonts w:ascii="Times New Roman" w:hAnsi="Times New Roman" w:cs="Times New Roman" w:hint="eastAsia"/>
          <w:sz w:val="24"/>
          <w:szCs w:val="24"/>
        </w:rPr>
        <w:t>黄山锦科机械制造有限责任公司、安徽农业大学</w:t>
      </w:r>
      <w:r>
        <w:rPr>
          <w:rFonts w:ascii="Times New Roman" w:hAnsi="Times New Roman" w:cs="Times New Roman" w:hint="eastAsia"/>
          <w:sz w:val="24"/>
          <w:szCs w:val="24"/>
        </w:rPr>
        <w:t>等单位。</w:t>
      </w:r>
    </w:p>
    <w:p w:rsidR="00E93A88" w:rsidRDefault="0069018C" w:rsidP="00177C0E">
      <w:pPr>
        <w:pStyle w:val="aa"/>
        <w:numPr>
          <w:ilvl w:val="0"/>
          <w:numId w:val="5"/>
        </w:numPr>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调查研究，收集资料，撰写标准修订初稿</w:t>
      </w:r>
    </w:p>
    <w:p w:rsidR="00E93A88" w:rsidRDefault="0069018C" w:rsidP="00177C0E">
      <w:pPr>
        <w:pStyle w:val="aa"/>
        <w:numPr>
          <w:ilvl w:val="0"/>
          <w:numId w:val="6"/>
        </w:numPr>
        <w:spacing w:line="360" w:lineRule="auto"/>
        <w:ind w:leftChars="-1" w:left="-2" w:firstLineChars="177" w:firstLine="425"/>
        <w:rPr>
          <w:rFonts w:ascii="Times New Roman" w:hAnsi="Times New Roman" w:cs="Times New Roman"/>
          <w:sz w:val="24"/>
          <w:szCs w:val="24"/>
        </w:rPr>
      </w:pPr>
      <w:r>
        <w:rPr>
          <w:rFonts w:ascii="宋体" w:hAnsi="宋体" w:hint="eastAsia"/>
          <w:color w:val="000000"/>
          <w:sz w:val="24"/>
          <w:szCs w:val="24"/>
        </w:rPr>
        <w:t>工作组对茶叶压扁机产品的技术状况与发展情况进行全面分析和调研，同时，通过对茶叶压扁机技术性能和技术指标等进行全面收集，并进行了认真研究分析，对茶叶压扁机的性能指标进行了检测试验。在此基础上编制《茶叶压扁机》标准草案初稿。</w:t>
      </w:r>
    </w:p>
    <w:p w:rsidR="00E93A88" w:rsidRDefault="0069018C" w:rsidP="00177C0E">
      <w:pPr>
        <w:pStyle w:val="aa"/>
        <w:numPr>
          <w:ilvl w:val="0"/>
          <w:numId w:val="6"/>
        </w:numPr>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召开标准修订工作研讨会，修改形成征求意见稿并征求意见</w:t>
      </w:r>
    </w:p>
    <w:p w:rsidR="00E93A88" w:rsidRDefault="0069018C" w:rsidP="00177C0E">
      <w:pPr>
        <w:pStyle w:val="aa"/>
        <w:spacing w:line="360" w:lineRule="auto"/>
        <w:ind w:leftChars="-1" w:left="-2" w:firstLineChars="177" w:firstLine="425"/>
        <w:rPr>
          <w:rFonts w:ascii="Times New Roman" w:hAnsi="Times New Roman" w:cs="Times New Roman"/>
          <w:sz w:val="24"/>
          <w:szCs w:val="24"/>
        </w:rPr>
      </w:pPr>
      <w:r>
        <w:rPr>
          <w:rFonts w:ascii="Times New Roman" w:hAnsi="Times New Roman" w:cs="Times New Roman" w:hint="eastAsia"/>
          <w:sz w:val="24"/>
          <w:szCs w:val="24"/>
        </w:rPr>
        <w:t>2019</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14</w:t>
      </w:r>
      <w:r>
        <w:rPr>
          <w:rFonts w:ascii="Times New Roman" w:hAnsi="Times New Roman" w:cs="Times New Roman" w:hint="eastAsia"/>
          <w:sz w:val="24"/>
          <w:szCs w:val="24"/>
        </w:rPr>
        <w:t>日，在合肥组织召开了《茶叶压扁机》行业标准研讨会，</w:t>
      </w:r>
      <w:proofErr w:type="gramStart"/>
      <w:r>
        <w:rPr>
          <w:rFonts w:ascii="Times New Roman" w:hAnsi="Times New Roman" w:cs="Times New Roman" w:hint="eastAsia"/>
          <w:sz w:val="24"/>
          <w:szCs w:val="24"/>
        </w:rPr>
        <w:t>池州市</w:t>
      </w:r>
      <w:proofErr w:type="gramEnd"/>
      <w:r>
        <w:rPr>
          <w:rFonts w:ascii="Times New Roman" w:hAnsi="Times New Roman" w:cs="Times New Roman" w:hint="eastAsia"/>
          <w:sz w:val="24"/>
          <w:szCs w:val="24"/>
        </w:rPr>
        <w:t>农业技术推广中心主任王双喜、安徽省农业机械鉴定站工程师李仿舟、青阳县农村水利局副局长夏元智、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安徽农业大学教授江家伍等专家共</w:t>
      </w:r>
      <w:r>
        <w:rPr>
          <w:rFonts w:ascii="Times New Roman" w:hAnsi="Times New Roman" w:cs="Times New Roman" w:hint="eastAsia"/>
          <w:sz w:val="24"/>
          <w:szCs w:val="24"/>
        </w:rPr>
        <w:t>10</w:t>
      </w:r>
      <w:r>
        <w:rPr>
          <w:rFonts w:ascii="Times New Roman" w:hAnsi="Times New Roman" w:cs="Times New Roman" w:hint="eastAsia"/>
          <w:sz w:val="24"/>
          <w:szCs w:val="24"/>
        </w:rPr>
        <w:t>人参加了会议。与会领导和专家对标准的修订原则和修订内容进行了研讨，对标准草案初稿</w:t>
      </w:r>
      <w:r>
        <w:rPr>
          <w:rFonts w:ascii="Times New Roman" w:hAnsi="Times New Roman" w:cs="Times New Roman" w:hint="eastAsia"/>
          <w:sz w:val="24"/>
          <w:szCs w:val="24"/>
        </w:rPr>
        <w:lastRenderedPageBreak/>
        <w:t>全文进行了修改。会后，工作组又广泛征求各有关专家意见，修改形成了标准草案第二稿。</w:t>
      </w:r>
      <w:r>
        <w:rPr>
          <w:rFonts w:ascii="Times New Roman" w:hAnsi="Times New Roman" w:cs="Times New Roman" w:hint="eastAsia"/>
          <w:sz w:val="24"/>
          <w:szCs w:val="24"/>
        </w:rPr>
        <w:t>2019</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29</w:t>
      </w:r>
      <w:r>
        <w:rPr>
          <w:rFonts w:ascii="Times New Roman" w:hAnsi="Times New Roman" w:cs="Times New Roman" w:hint="eastAsia"/>
          <w:sz w:val="24"/>
          <w:szCs w:val="24"/>
        </w:rPr>
        <w:t>日，</w:t>
      </w:r>
      <w:r>
        <w:rPr>
          <w:rFonts w:ascii="Times New Roman" w:hAnsi="Times New Roman" w:cs="Times New Roman" w:hint="eastAsia"/>
          <w:sz w:val="24"/>
          <w:szCs w:val="24"/>
        </w:rPr>
        <w:t xml:space="preserve"> </w:t>
      </w:r>
      <w:r>
        <w:rPr>
          <w:rFonts w:ascii="Times New Roman" w:hAnsi="Times New Roman" w:cs="Times New Roman" w:hint="eastAsia"/>
          <w:sz w:val="24"/>
          <w:szCs w:val="24"/>
        </w:rPr>
        <w:t>标准起草组对标准草案第二稿进行了修改完善，</w:t>
      </w:r>
      <w:r>
        <w:rPr>
          <w:rFonts w:ascii="Times New Roman" w:hAnsi="Times New Roman" w:cs="Times New Roman" w:hint="eastAsia"/>
          <w:sz w:val="24"/>
          <w:szCs w:val="24"/>
        </w:rPr>
        <w:t xml:space="preserve"> </w:t>
      </w:r>
      <w:r>
        <w:rPr>
          <w:rFonts w:ascii="Times New Roman" w:hAnsi="Times New Roman" w:cs="Times New Roman" w:hint="eastAsia"/>
          <w:sz w:val="24"/>
          <w:szCs w:val="24"/>
        </w:rPr>
        <w:t>整合了各相关单位提出的意见和建议，形成了标准征求意见稿。</w:t>
      </w:r>
      <w:r>
        <w:rPr>
          <w:rFonts w:ascii="Times New Roman" w:hAnsi="Times New Roman" w:cs="Times New Roman" w:hint="eastAsia"/>
          <w:sz w:val="24"/>
          <w:szCs w:val="24"/>
        </w:rPr>
        <w:t xml:space="preserve"> </w:t>
      </w:r>
    </w:p>
    <w:p w:rsidR="00E93A88" w:rsidRDefault="0069018C">
      <w:pPr>
        <w:pStyle w:val="aa"/>
        <w:numPr>
          <w:ilvl w:val="0"/>
          <w:numId w:val="3"/>
        </w:numPr>
        <w:spacing w:line="480" w:lineRule="auto"/>
        <w:ind w:firstLineChars="0"/>
        <w:rPr>
          <w:rFonts w:ascii="Times New Roman" w:hAnsi="Times New Roman" w:cs="Times New Roman"/>
          <w:sz w:val="24"/>
          <w:szCs w:val="24"/>
        </w:rPr>
      </w:pPr>
      <w:r>
        <w:rPr>
          <w:rFonts w:ascii="Times New Roman" w:hAnsi="Times New Roman" w:cs="Times New Roman" w:hint="eastAsia"/>
          <w:sz w:val="24"/>
          <w:szCs w:val="24"/>
        </w:rPr>
        <w:t>标准编制原则和确定标准主要内容的论据</w:t>
      </w:r>
    </w:p>
    <w:p w:rsidR="00E93A88" w:rsidRDefault="0069018C">
      <w:pPr>
        <w:pStyle w:val="ab"/>
        <w:spacing w:line="360" w:lineRule="auto"/>
        <w:ind w:firstLine="480"/>
        <w:rPr>
          <w:rFonts w:ascii="Times New Roman" w:eastAsiaTheme="minorEastAsia"/>
          <w:kern w:val="2"/>
          <w:sz w:val="24"/>
          <w:szCs w:val="24"/>
        </w:rPr>
      </w:pPr>
      <w:r>
        <w:rPr>
          <w:rFonts w:ascii="Times New Roman" w:hint="eastAsia"/>
          <w:sz w:val="24"/>
          <w:szCs w:val="24"/>
        </w:rPr>
        <w:t>标准的编制原则立足于国内茶叶压扁机产品的实际情况，合理选材。其编制依据主要是参考同类型产品的相关标准以及安徽友力节能设备有限公司多年数据统计、茶叶机械类产品生产厂家的标准要求。按照</w:t>
      </w:r>
      <w:r>
        <w:rPr>
          <w:rFonts w:ascii="Times New Roman" w:hint="eastAsia"/>
          <w:sz w:val="24"/>
          <w:szCs w:val="24"/>
        </w:rPr>
        <w:t>GB/T 1.1-2009</w:t>
      </w:r>
      <w:r>
        <w:rPr>
          <w:rFonts w:ascii="Times New Roman" w:hint="eastAsia"/>
          <w:sz w:val="24"/>
          <w:szCs w:val="24"/>
        </w:rPr>
        <w:t>《标准化工作原则第</w:t>
      </w:r>
      <w:r>
        <w:rPr>
          <w:rFonts w:ascii="Times New Roman" w:hint="eastAsia"/>
          <w:sz w:val="24"/>
          <w:szCs w:val="24"/>
        </w:rPr>
        <w:t>1</w:t>
      </w:r>
      <w:r>
        <w:rPr>
          <w:rFonts w:ascii="Times New Roman" w:hint="eastAsia"/>
          <w:sz w:val="24"/>
          <w:szCs w:val="24"/>
        </w:rPr>
        <w:t>部分：标准的结构和编写》的规定要求来编写。茶叶压扁机</w:t>
      </w:r>
      <w:r>
        <w:rPr>
          <w:rFonts w:ascii="Times New Roman" w:eastAsiaTheme="minorEastAsia" w:hint="eastAsia"/>
          <w:kern w:val="2"/>
          <w:sz w:val="24"/>
          <w:szCs w:val="24"/>
        </w:rPr>
        <w:t>标准制定的主要内容有：范围、规范性引用文件、术语和定义、产品型号、技术要求、试验方法、检验规则及标牌、包装、运输和贮存。</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引用标准：</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191  </w:t>
      </w:r>
      <w:r>
        <w:rPr>
          <w:rFonts w:ascii="Times New Roman" w:eastAsiaTheme="minorEastAsia" w:hint="eastAsia"/>
          <w:kern w:val="2"/>
          <w:sz w:val="24"/>
          <w:szCs w:val="24"/>
        </w:rPr>
        <w:t>包装储运图示标志</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3768  </w:t>
      </w:r>
      <w:r>
        <w:rPr>
          <w:rFonts w:ascii="Times New Roman" w:eastAsiaTheme="minorEastAsia" w:hint="eastAsia"/>
          <w:kern w:val="2"/>
          <w:sz w:val="24"/>
          <w:szCs w:val="24"/>
        </w:rPr>
        <w:t>声学声压法测定噪声源声功率级反射面上方采用包络测量表面的简易法</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3785.2  </w:t>
      </w:r>
      <w:r>
        <w:rPr>
          <w:rFonts w:ascii="Times New Roman" w:eastAsiaTheme="minorEastAsia" w:hint="eastAsia"/>
          <w:kern w:val="2"/>
          <w:sz w:val="24"/>
          <w:szCs w:val="24"/>
        </w:rPr>
        <w:t>电声学声级计第</w:t>
      </w:r>
      <w:r>
        <w:rPr>
          <w:rFonts w:ascii="Times New Roman" w:eastAsiaTheme="minorEastAsia" w:hint="eastAsia"/>
          <w:kern w:val="2"/>
          <w:sz w:val="24"/>
          <w:szCs w:val="24"/>
        </w:rPr>
        <w:t>2</w:t>
      </w:r>
      <w:r>
        <w:rPr>
          <w:rFonts w:ascii="Times New Roman" w:eastAsiaTheme="minorEastAsia" w:hint="eastAsia"/>
          <w:kern w:val="2"/>
          <w:sz w:val="24"/>
          <w:szCs w:val="24"/>
        </w:rPr>
        <w:t>部分：型式评价试验</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 5226.1  </w:t>
      </w:r>
      <w:r>
        <w:rPr>
          <w:rFonts w:ascii="Times New Roman" w:eastAsiaTheme="minorEastAsia" w:hint="eastAsia"/>
          <w:kern w:val="2"/>
          <w:sz w:val="24"/>
          <w:szCs w:val="24"/>
        </w:rPr>
        <w:t>机械电气安全机械电气设备第</w:t>
      </w:r>
      <w:r>
        <w:rPr>
          <w:rFonts w:ascii="Times New Roman" w:eastAsiaTheme="minorEastAsia" w:hint="eastAsia"/>
          <w:kern w:val="2"/>
          <w:sz w:val="24"/>
          <w:szCs w:val="24"/>
        </w:rPr>
        <w:t>1</w:t>
      </w:r>
      <w:r>
        <w:rPr>
          <w:rFonts w:ascii="Times New Roman" w:eastAsiaTheme="minorEastAsia" w:hint="eastAsia"/>
          <w:kern w:val="2"/>
          <w:sz w:val="24"/>
          <w:szCs w:val="24"/>
        </w:rPr>
        <w:t>部分：通用技术条件</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6576  </w:t>
      </w:r>
      <w:r>
        <w:rPr>
          <w:rFonts w:ascii="Times New Roman" w:eastAsiaTheme="minorEastAsia" w:hint="eastAsia"/>
          <w:kern w:val="2"/>
          <w:sz w:val="24"/>
          <w:szCs w:val="24"/>
        </w:rPr>
        <w:t>机床润滑系统</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8311  </w:t>
      </w:r>
      <w:r>
        <w:rPr>
          <w:rFonts w:ascii="Times New Roman" w:eastAsiaTheme="minorEastAsia" w:hint="eastAsia"/>
          <w:kern w:val="2"/>
          <w:sz w:val="24"/>
          <w:szCs w:val="24"/>
        </w:rPr>
        <w:t>茶</w:t>
      </w:r>
      <w:r>
        <w:rPr>
          <w:rFonts w:ascii="Times New Roman" w:eastAsiaTheme="minorEastAsia" w:hint="eastAsia"/>
          <w:kern w:val="2"/>
          <w:sz w:val="24"/>
          <w:szCs w:val="24"/>
        </w:rPr>
        <w:t xml:space="preserve"> </w:t>
      </w:r>
      <w:r>
        <w:rPr>
          <w:rFonts w:ascii="Times New Roman" w:eastAsiaTheme="minorEastAsia" w:hint="eastAsia"/>
          <w:kern w:val="2"/>
          <w:sz w:val="24"/>
          <w:szCs w:val="24"/>
        </w:rPr>
        <w:t>粉末和碎茶含量测定</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9286  </w:t>
      </w:r>
      <w:r>
        <w:rPr>
          <w:rFonts w:ascii="Times New Roman" w:eastAsiaTheme="minorEastAsia" w:hint="eastAsia"/>
          <w:kern w:val="2"/>
          <w:sz w:val="24"/>
          <w:szCs w:val="24"/>
        </w:rPr>
        <w:t>色漆和清漆漆膜的划格试验</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9480  </w:t>
      </w:r>
      <w:r>
        <w:rPr>
          <w:rFonts w:ascii="Times New Roman" w:eastAsiaTheme="minorEastAsia" w:hint="eastAsia"/>
          <w:kern w:val="2"/>
          <w:sz w:val="24"/>
          <w:szCs w:val="24"/>
        </w:rPr>
        <w:t>农林拖拉机和机械、草坪和园艺动</w:t>
      </w:r>
      <w:r>
        <w:rPr>
          <w:rFonts w:ascii="Times New Roman" w:eastAsiaTheme="minorEastAsia" w:hint="eastAsia"/>
          <w:kern w:val="2"/>
          <w:sz w:val="24"/>
          <w:szCs w:val="24"/>
        </w:rPr>
        <w:t>\</w:t>
      </w:r>
      <w:r>
        <w:rPr>
          <w:rFonts w:ascii="Times New Roman" w:eastAsiaTheme="minorEastAsia" w:hint="eastAsia"/>
          <w:kern w:val="2"/>
          <w:sz w:val="24"/>
          <w:szCs w:val="24"/>
        </w:rPr>
        <w:t>力机械使用说明书编写规则</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 10395.1  </w:t>
      </w:r>
      <w:r>
        <w:rPr>
          <w:rFonts w:ascii="Times New Roman" w:eastAsiaTheme="minorEastAsia" w:hint="eastAsia"/>
          <w:kern w:val="2"/>
          <w:sz w:val="24"/>
          <w:szCs w:val="24"/>
        </w:rPr>
        <w:t>农林机械安全</w:t>
      </w:r>
      <w:r>
        <w:rPr>
          <w:rFonts w:ascii="Times New Roman" w:eastAsiaTheme="minorEastAsia" w:hint="eastAsia"/>
          <w:kern w:val="2"/>
          <w:sz w:val="24"/>
          <w:szCs w:val="24"/>
        </w:rPr>
        <w:t xml:space="preserve"> </w:t>
      </w:r>
      <w:r>
        <w:rPr>
          <w:rFonts w:ascii="Times New Roman" w:eastAsiaTheme="minorEastAsia" w:hint="eastAsia"/>
          <w:kern w:val="2"/>
          <w:sz w:val="24"/>
          <w:szCs w:val="24"/>
        </w:rPr>
        <w:t>第</w:t>
      </w:r>
      <w:r>
        <w:rPr>
          <w:rFonts w:ascii="Times New Roman" w:eastAsiaTheme="minorEastAsia" w:hint="eastAsia"/>
          <w:kern w:val="2"/>
          <w:sz w:val="24"/>
          <w:szCs w:val="24"/>
        </w:rPr>
        <w:t>1</w:t>
      </w:r>
      <w:r>
        <w:rPr>
          <w:rFonts w:ascii="Times New Roman" w:eastAsiaTheme="minorEastAsia" w:hint="eastAsia"/>
          <w:kern w:val="2"/>
          <w:sz w:val="24"/>
          <w:szCs w:val="24"/>
        </w:rPr>
        <w:t>部分：总则</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 10396  </w:t>
      </w:r>
      <w:r>
        <w:rPr>
          <w:rFonts w:ascii="Times New Roman" w:eastAsiaTheme="minorEastAsia" w:hint="eastAsia"/>
          <w:kern w:val="2"/>
          <w:sz w:val="24"/>
          <w:szCs w:val="24"/>
        </w:rPr>
        <w:t>农林拖拉机和机械、草坪和园艺动力机械安全标志和危险图形总则</w:t>
      </w:r>
    </w:p>
    <w:p w:rsidR="00E93A88" w:rsidRDefault="0069018C" w:rsidP="00177C0E">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13306  </w:t>
      </w:r>
      <w:r>
        <w:rPr>
          <w:rFonts w:ascii="Times New Roman" w:eastAsiaTheme="minorEastAsia" w:hint="eastAsia"/>
          <w:kern w:val="2"/>
          <w:sz w:val="24"/>
          <w:szCs w:val="24"/>
        </w:rPr>
        <w:t>标牌</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 16798  </w:t>
      </w:r>
      <w:r>
        <w:rPr>
          <w:rFonts w:ascii="Times New Roman" w:eastAsiaTheme="minorEastAsia" w:hint="eastAsia"/>
          <w:kern w:val="2"/>
          <w:sz w:val="24"/>
          <w:szCs w:val="24"/>
        </w:rPr>
        <w:t>食品机械安全卫生</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GB/T 19698-2008  </w:t>
      </w:r>
      <w:r>
        <w:rPr>
          <w:rFonts w:ascii="Times New Roman" w:eastAsiaTheme="minorEastAsia" w:hint="eastAsia"/>
          <w:kern w:val="2"/>
          <w:sz w:val="24"/>
          <w:szCs w:val="24"/>
        </w:rPr>
        <w:t>地理标志产品太平</w:t>
      </w:r>
      <w:proofErr w:type="gramStart"/>
      <w:r>
        <w:rPr>
          <w:rFonts w:ascii="Times New Roman" w:eastAsiaTheme="minorEastAsia" w:hint="eastAsia"/>
          <w:kern w:val="2"/>
          <w:sz w:val="24"/>
          <w:szCs w:val="24"/>
        </w:rPr>
        <w:t>猴魁茶</w:t>
      </w:r>
      <w:proofErr w:type="gramEnd"/>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GB 23821  </w:t>
      </w:r>
      <w:r>
        <w:rPr>
          <w:rFonts w:ascii="Times New Roman" w:eastAsiaTheme="minorEastAsia" w:hint="eastAsia"/>
          <w:kern w:val="2"/>
          <w:sz w:val="24"/>
          <w:szCs w:val="24"/>
        </w:rPr>
        <w:t>机械安全</w:t>
      </w:r>
      <w:r>
        <w:rPr>
          <w:rFonts w:ascii="Times New Roman" w:eastAsiaTheme="minorEastAsia" w:hint="eastAsia"/>
          <w:kern w:val="2"/>
          <w:sz w:val="24"/>
          <w:szCs w:val="24"/>
        </w:rPr>
        <w:t xml:space="preserve"> </w:t>
      </w:r>
      <w:r>
        <w:rPr>
          <w:rFonts w:ascii="Times New Roman" w:eastAsiaTheme="minorEastAsia" w:hint="eastAsia"/>
          <w:kern w:val="2"/>
          <w:sz w:val="24"/>
          <w:szCs w:val="24"/>
        </w:rPr>
        <w:t>防止上下肢触及危险区的安全距离</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JB/T 5673-2015  </w:t>
      </w:r>
      <w:r>
        <w:rPr>
          <w:rFonts w:ascii="Times New Roman" w:eastAsiaTheme="minorEastAsia" w:hint="eastAsia"/>
          <w:kern w:val="2"/>
          <w:sz w:val="24"/>
          <w:szCs w:val="24"/>
        </w:rPr>
        <w:t>农林拖拉机及机具涂漆通用</w:t>
      </w:r>
      <w:r>
        <w:rPr>
          <w:rFonts w:ascii="Times New Roman" w:eastAsiaTheme="minorEastAsia" w:hint="eastAsia"/>
          <w:kern w:val="2"/>
          <w:sz w:val="24"/>
          <w:szCs w:val="24"/>
        </w:rPr>
        <w:t xml:space="preserve"> </w:t>
      </w:r>
      <w:r>
        <w:rPr>
          <w:rFonts w:ascii="Times New Roman" w:eastAsiaTheme="minorEastAsia" w:hint="eastAsia"/>
          <w:kern w:val="2"/>
          <w:sz w:val="24"/>
          <w:szCs w:val="24"/>
        </w:rPr>
        <w:t>技术条件</w:t>
      </w:r>
    </w:p>
    <w:p w:rsidR="00E93A88" w:rsidRDefault="0069018C">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JB/T 7863  </w:t>
      </w:r>
      <w:r>
        <w:rPr>
          <w:rFonts w:ascii="Times New Roman" w:eastAsiaTheme="minorEastAsia" w:hint="eastAsia"/>
          <w:kern w:val="2"/>
          <w:sz w:val="24"/>
          <w:szCs w:val="24"/>
        </w:rPr>
        <w:t>茶叶机械</w:t>
      </w:r>
      <w:r>
        <w:rPr>
          <w:rFonts w:ascii="Times New Roman" w:eastAsiaTheme="minorEastAsia" w:hint="eastAsia"/>
          <w:kern w:val="2"/>
          <w:sz w:val="24"/>
          <w:szCs w:val="24"/>
        </w:rPr>
        <w:t xml:space="preserve"> </w:t>
      </w:r>
      <w:r>
        <w:rPr>
          <w:rFonts w:ascii="Times New Roman" w:eastAsiaTheme="minorEastAsia" w:hint="eastAsia"/>
          <w:kern w:val="2"/>
          <w:sz w:val="24"/>
          <w:szCs w:val="24"/>
        </w:rPr>
        <w:t>术语</w:t>
      </w:r>
    </w:p>
    <w:p w:rsidR="00E93A88" w:rsidRDefault="0069018C" w:rsidP="00177C0E">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lastRenderedPageBreak/>
        <w:t xml:space="preserve">JB/T 8574  </w:t>
      </w:r>
      <w:r>
        <w:rPr>
          <w:rFonts w:ascii="Times New Roman" w:eastAsiaTheme="minorEastAsia" w:hint="eastAsia"/>
          <w:kern w:val="2"/>
          <w:sz w:val="24"/>
          <w:szCs w:val="24"/>
        </w:rPr>
        <w:t>衣机具产品型号编制规则</w:t>
      </w:r>
    </w:p>
    <w:p w:rsidR="00E93A88" w:rsidRDefault="0069018C" w:rsidP="00177C0E">
      <w:pPr>
        <w:pStyle w:val="ab"/>
        <w:spacing w:line="360" w:lineRule="auto"/>
        <w:ind w:firstLine="480"/>
        <w:rPr>
          <w:rFonts w:ascii="Times New Roman" w:eastAsiaTheme="minorEastAsia"/>
          <w:kern w:val="2"/>
          <w:sz w:val="24"/>
          <w:szCs w:val="24"/>
        </w:rPr>
      </w:pPr>
      <w:r>
        <w:rPr>
          <w:rFonts w:ascii="Times New Roman" w:eastAsiaTheme="minorEastAsia" w:hint="eastAsia"/>
          <w:kern w:val="2"/>
          <w:sz w:val="24"/>
          <w:szCs w:val="24"/>
        </w:rPr>
        <w:t xml:space="preserve">JB/T 8832  </w:t>
      </w:r>
      <w:r>
        <w:rPr>
          <w:rFonts w:ascii="Times New Roman" w:eastAsiaTheme="minorEastAsia" w:hint="eastAsia"/>
          <w:kern w:val="2"/>
          <w:sz w:val="24"/>
          <w:szCs w:val="24"/>
        </w:rPr>
        <w:t>机床数控系统通用技术条件</w:t>
      </w:r>
    </w:p>
    <w:p w:rsidR="00E93A88" w:rsidRDefault="0069018C">
      <w:pPr>
        <w:pStyle w:val="aa"/>
        <w:numPr>
          <w:ilvl w:val="0"/>
          <w:numId w:val="3"/>
        </w:numPr>
        <w:spacing w:line="480" w:lineRule="auto"/>
        <w:ind w:firstLineChars="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主要内容数据的</w:t>
      </w:r>
      <w:r>
        <w:rPr>
          <w:rFonts w:ascii="Times New Roman" w:hAnsi="Times New Roman" w:cs="Times New Roman"/>
          <w:color w:val="000000" w:themeColor="text1"/>
          <w:sz w:val="24"/>
          <w:szCs w:val="24"/>
        </w:rPr>
        <w:t>分析</w:t>
      </w:r>
      <w:r>
        <w:rPr>
          <w:rFonts w:ascii="Times New Roman" w:hAnsi="Times New Roman" w:cs="Times New Roman" w:hint="eastAsia"/>
          <w:color w:val="000000" w:themeColor="text1"/>
          <w:sz w:val="24"/>
          <w:szCs w:val="24"/>
        </w:rPr>
        <w:t>（综述</w:t>
      </w:r>
      <w:r>
        <w:rPr>
          <w:rFonts w:ascii="Times New Roman" w:hAnsi="Times New Roman" w:cs="Times New Roman"/>
          <w:color w:val="000000" w:themeColor="text1"/>
          <w:sz w:val="24"/>
          <w:szCs w:val="24"/>
        </w:rPr>
        <w:t>报告）</w:t>
      </w:r>
    </w:p>
    <w:p w:rsidR="00E93A88" w:rsidRDefault="0069018C">
      <w:pPr>
        <w:pStyle w:val="aa"/>
        <w:spacing w:line="360" w:lineRule="auto"/>
        <w:ind w:firstLine="480"/>
        <w:rPr>
          <w:rFonts w:ascii="Times New Roman"/>
          <w:sz w:val="24"/>
          <w:szCs w:val="24"/>
        </w:rPr>
      </w:pPr>
      <w:r>
        <w:rPr>
          <w:rFonts w:ascii="Times New Roman" w:hint="eastAsia"/>
          <w:sz w:val="24"/>
          <w:szCs w:val="24"/>
        </w:rPr>
        <w:t>通过收集</w:t>
      </w:r>
      <w:r>
        <w:rPr>
          <w:rFonts w:ascii="Times New Roman" w:hAnsi="Times New Roman" w:cs="Times New Roman" w:hint="eastAsia"/>
          <w:sz w:val="24"/>
          <w:szCs w:val="24"/>
        </w:rPr>
        <w:t>茶叶压扁机产品</w:t>
      </w:r>
      <w:r>
        <w:rPr>
          <w:rFonts w:ascii="Times New Roman" w:hint="eastAsia"/>
          <w:sz w:val="24"/>
          <w:szCs w:val="24"/>
        </w:rPr>
        <w:t>的检测数据，结合相关国家标准和行业标准的技术指标，经过反复修改讨论验证，搭建了行业标准的技术框架，确定了</w:t>
      </w:r>
      <w:r>
        <w:rPr>
          <w:rFonts w:ascii="Times New Roman" w:hAnsi="Times New Roman" w:cs="Times New Roman" w:hint="eastAsia"/>
          <w:sz w:val="24"/>
          <w:szCs w:val="24"/>
        </w:rPr>
        <w:t>茶叶压扁机产品的主要技术指标（见表</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int="eastAsia"/>
          <w:sz w:val="24"/>
          <w:szCs w:val="24"/>
        </w:rPr>
        <w:t>。</w:t>
      </w:r>
    </w:p>
    <w:p w:rsidR="00E93A88" w:rsidRDefault="0069018C">
      <w:pPr>
        <w:pStyle w:val="a5"/>
      </w:pPr>
      <w:r>
        <w:rPr>
          <w:rFonts w:hint="eastAsia"/>
        </w:rPr>
        <w:t>茶叶压扁机性能指标</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387"/>
        <w:gridCol w:w="2693"/>
      </w:tblGrid>
      <w:tr w:rsidR="00E93A88">
        <w:tc>
          <w:tcPr>
            <w:tcW w:w="1242" w:type="dxa"/>
          </w:tcPr>
          <w:p w:rsidR="00E93A88" w:rsidRDefault="0069018C">
            <w:pPr>
              <w:pStyle w:val="ab"/>
              <w:ind w:firstLineChars="0" w:firstLine="0"/>
              <w:jc w:val="center"/>
              <w:rPr>
                <w:szCs w:val="18"/>
              </w:rPr>
            </w:pPr>
            <w:r>
              <w:rPr>
                <w:rFonts w:hint="eastAsia"/>
                <w:szCs w:val="18"/>
              </w:rPr>
              <w:t>序号</w:t>
            </w:r>
          </w:p>
        </w:tc>
        <w:tc>
          <w:tcPr>
            <w:tcW w:w="5387" w:type="dxa"/>
          </w:tcPr>
          <w:p w:rsidR="00E93A88" w:rsidRDefault="0069018C">
            <w:pPr>
              <w:pStyle w:val="ab"/>
              <w:ind w:firstLineChars="0" w:firstLine="0"/>
              <w:jc w:val="center"/>
              <w:rPr>
                <w:szCs w:val="18"/>
              </w:rPr>
            </w:pPr>
            <w:r>
              <w:rPr>
                <w:rFonts w:hint="eastAsia"/>
                <w:szCs w:val="18"/>
              </w:rPr>
              <w:t>项目</w:t>
            </w:r>
          </w:p>
        </w:tc>
        <w:tc>
          <w:tcPr>
            <w:tcW w:w="2693" w:type="dxa"/>
          </w:tcPr>
          <w:p w:rsidR="00E93A88" w:rsidRDefault="0069018C">
            <w:pPr>
              <w:pStyle w:val="ab"/>
              <w:ind w:firstLineChars="0" w:firstLine="0"/>
              <w:jc w:val="center"/>
              <w:rPr>
                <w:szCs w:val="18"/>
              </w:rPr>
            </w:pPr>
            <w:r>
              <w:rPr>
                <w:rFonts w:hint="eastAsia"/>
                <w:szCs w:val="18"/>
              </w:rPr>
              <w:t>性能指标</w:t>
            </w:r>
          </w:p>
        </w:tc>
      </w:tr>
      <w:tr w:rsidR="00E93A88">
        <w:tc>
          <w:tcPr>
            <w:tcW w:w="1242" w:type="dxa"/>
          </w:tcPr>
          <w:p w:rsidR="00E93A88" w:rsidRDefault="0069018C">
            <w:pPr>
              <w:pStyle w:val="ab"/>
              <w:ind w:firstLineChars="0" w:firstLine="0"/>
              <w:jc w:val="center"/>
              <w:rPr>
                <w:szCs w:val="18"/>
              </w:rPr>
            </w:pPr>
            <w:r>
              <w:rPr>
                <w:rFonts w:hint="eastAsia"/>
                <w:szCs w:val="18"/>
              </w:rPr>
              <w:t>1</w:t>
            </w:r>
          </w:p>
        </w:tc>
        <w:tc>
          <w:tcPr>
            <w:tcW w:w="5387" w:type="dxa"/>
          </w:tcPr>
          <w:p w:rsidR="00E93A88" w:rsidRDefault="0069018C">
            <w:pPr>
              <w:pStyle w:val="ab"/>
              <w:ind w:firstLineChars="0" w:firstLine="0"/>
              <w:jc w:val="left"/>
              <w:rPr>
                <w:szCs w:val="18"/>
              </w:rPr>
            </w:pPr>
            <w:r>
              <w:rPr>
                <w:rFonts w:hint="eastAsia"/>
                <w:szCs w:val="18"/>
              </w:rPr>
              <w:t>碎茶率   %</w:t>
            </w:r>
          </w:p>
        </w:tc>
        <w:tc>
          <w:tcPr>
            <w:tcW w:w="2693" w:type="dxa"/>
          </w:tcPr>
          <w:p w:rsidR="00E93A88" w:rsidRDefault="0069018C">
            <w:pPr>
              <w:jc w:val="center"/>
              <w:rPr>
                <w:rFonts w:ascii="宋体"/>
                <w:sz w:val="18"/>
              </w:rPr>
            </w:pPr>
            <w:r>
              <w:rPr>
                <w:rFonts w:ascii="宋体" w:hint="eastAsia"/>
                <w:sz w:val="18"/>
              </w:rPr>
              <w:t>≤3</w:t>
            </w:r>
          </w:p>
        </w:tc>
      </w:tr>
      <w:tr w:rsidR="00E93A88">
        <w:tc>
          <w:tcPr>
            <w:tcW w:w="1242" w:type="dxa"/>
          </w:tcPr>
          <w:p w:rsidR="00E93A88" w:rsidRDefault="0069018C">
            <w:pPr>
              <w:pStyle w:val="ab"/>
              <w:ind w:firstLineChars="0" w:firstLine="0"/>
              <w:jc w:val="center"/>
              <w:rPr>
                <w:szCs w:val="18"/>
              </w:rPr>
            </w:pPr>
            <w:r>
              <w:rPr>
                <w:rFonts w:hint="eastAsia"/>
                <w:szCs w:val="18"/>
              </w:rPr>
              <w:t>2</w:t>
            </w:r>
          </w:p>
        </w:tc>
        <w:tc>
          <w:tcPr>
            <w:tcW w:w="5387" w:type="dxa"/>
          </w:tcPr>
          <w:p w:rsidR="00E93A88" w:rsidRDefault="0069018C">
            <w:pPr>
              <w:pStyle w:val="ab"/>
              <w:ind w:firstLineChars="0" w:firstLine="0"/>
              <w:jc w:val="left"/>
              <w:rPr>
                <w:szCs w:val="18"/>
              </w:rPr>
            </w:pPr>
            <w:r>
              <w:rPr>
                <w:rFonts w:hint="eastAsia"/>
                <w:szCs w:val="18"/>
              </w:rPr>
              <w:t>压扁率   %</w:t>
            </w:r>
          </w:p>
        </w:tc>
        <w:tc>
          <w:tcPr>
            <w:tcW w:w="2693" w:type="dxa"/>
          </w:tcPr>
          <w:p w:rsidR="00E93A88" w:rsidRDefault="0069018C">
            <w:pPr>
              <w:jc w:val="center"/>
              <w:rPr>
                <w:rFonts w:ascii="宋体" w:eastAsia="宋体"/>
                <w:sz w:val="18"/>
              </w:rPr>
            </w:pPr>
            <w:r>
              <w:rPr>
                <w:rFonts w:ascii="宋体" w:hint="eastAsia"/>
                <w:sz w:val="18"/>
              </w:rPr>
              <w:t>≥95</w:t>
            </w:r>
          </w:p>
        </w:tc>
      </w:tr>
      <w:tr w:rsidR="00E93A88">
        <w:tc>
          <w:tcPr>
            <w:tcW w:w="1242" w:type="dxa"/>
          </w:tcPr>
          <w:p w:rsidR="00E93A88" w:rsidRDefault="0069018C">
            <w:pPr>
              <w:pStyle w:val="ab"/>
              <w:ind w:firstLineChars="0" w:firstLine="0"/>
              <w:jc w:val="center"/>
              <w:rPr>
                <w:szCs w:val="18"/>
              </w:rPr>
            </w:pPr>
            <w:r>
              <w:rPr>
                <w:rFonts w:hint="eastAsia"/>
                <w:szCs w:val="18"/>
              </w:rPr>
              <w:t>3</w:t>
            </w:r>
          </w:p>
        </w:tc>
        <w:tc>
          <w:tcPr>
            <w:tcW w:w="5387" w:type="dxa"/>
          </w:tcPr>
          <w:p w:rsidR="00E93A88" w:rsidRDefault="0069018C">
            <w:pPr>
              <w:jc w:val="left"/>
              <w:rPr>
                <w:rFonts w:ascii="宋体"/>
                <w:sz w:val="18"/>
              </w:rPr>
            </w:pPr>
            <w:r>
              <w:rPr>
                <w:rFonts w:ascii="宋体" w:hAnsi="宋体" w:hint="eastAsia"/>
                <w:sz w:val="18"/>
              </w:rPr>
              <w:t>工作噪声，</w:t>
            </w:r>
            <w:r>
              <w:rPr>
                <w:rFonts w:ascii="宋体" w:hint="eastAsia"/>
                <w:sz w:val="18"/>
              </w:rPr>
              <w:t xml:space="preserve">dB (A)  </w:t>
            </w:r>
          </w:p>
        </w:tc>
        <w:tc>
          <w:tcPr>
            <w:tcW w:w="2693" w:type="dxa"/>
          </w:tcPr>
          <w:p w:rsidR="00E93A88" w:rsidRDefault="0069018C">
            <w:pPr>
              <w:jc w:val="center"/>
              <w:rPr>
                <w:rFonts w:ascii="宋体" w:eastAsia="宋体"/>
                <w:sz w:val="18"/>
              </w:rPr>
            </w:pPr>
            <w:r>
              <w:rPr>
                <w:rFonts w:ascii="宋体" w:hint="eastAsia"/>
                <w:sz w:val="18"/>
              </w:rPr>
              <w:t>≤70</w:t>
            </w:r>
          </w:p>
        </w:tc>
      </w:tr>
      <w:tr w:rsidR="00E93A88">
        <w:tc>
          <w:tcPr>
            <w:tcW w:w="1242" w:type="dxa"/>
          </w:tcPr>
          <w:p w:rsidR="00E93A88" w:rsidRDefault="0069018C">
            <w:pPr>
              <w:pStyle w:val="ab"/>
              <w:ind w:firstLineChars="0" w:firstLine="0"/>
              <w:jc w:val="center"/>
              <w:rPr>
                <w:szCs w:val="18"/>
              </w:rPr>
            </w:pPr>
            <w:r>
              <w:rPr>
                <w:rFonts w:hint="eastAsia"/>
                <w:szCs w:val="18"/>
              </w:rPr>
              <w:t>4</w:t>
            </w:r>
          </w:p>
        </w:tc>
        <w:tc>
          <w:tcPr>
            <w:tcW w:w="5387" w:type="dxa"/>
          </w:tcPr>
          <w:p w:rsidR="00E93A88" w:rsidRDefault="0069018C">
            <w:pPr>
              <w:rPr>
                <w:rFonts w:ascii="宋体"/>
                <w:sz w:val="18"/>
              </w:rPr>
            </w:pPr>
            <w:r>
              <w:rPr>
                <w:rFonts w:ascii="宋体" w:hAnsi="宋体" w:hint="eastAsia"/>
                <w:sz w:val="18"/>
              </w:rPr>
              <w:t xml:space="preserve">可靠性(首次故障前平均工作时间MTTFF)，h </w:t>
            </w:r>
          </w:p>
        </w:tc>
        <w:tc>
          <w:tcPr>
            <w:tcW w:w="2693" w:type="dxa"/>
          </w:tcPr>
          <w:p w:rsidR="00E93A88" w:rsidRDefault="0069018C">
            <w:pPr>
              <w:jc w:val="center"/>
              <w:rPr>
                <w:rFonts w:ascii="宋体" w:eastAsia="宋体"/>
                <w:sz w:val="18"/>
              </w:rPr>
            </w:pPr>
            <w:r>
              <w:rPr>
                <w:rFonts w:ascii="宋体" w:hint="eastAsia"/>
                <w:sz w:val="18"/>
              </w:rPr>
              <w:t>≥200</w:t>
            </w:r>
          </w:p>
        </w:tc>
      </w:tr>
    </w:tbl>
    <w:p w:rsidR="00E93A88" w:rsidRDefault="0069018C">
      <w:pPr>
        <w:pStyle w:val="aa"/>
        <w:numPr>
          <w:ilvl w:val="0"/>
          <w:numId w:val="3"/>
        </w:numPr>
        <w:spacing w:line="480" w:lineRule="auto"/>
        <w:ind w:firstLineChars="0"/>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采用国际标准和和国外先进标准的关系</w:t>
      </w:r>
    </w:p>
    <w:p w:rsidR="00E93A88" w:rsidRDefault="0069018C">
      <w:pPr>
        <w:pStyle w:val="aa"/>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无。</w:t>
      </w:r>
    </w:p>
    <w:p w:rsidR="00E93A88" w:rsidRDefault="0069018C">
      <w:pPr>
        <w:pStyle w:val="aa"/>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五、</w:t>
      </w:r>
      <w:r>
        <w:rPr>
          <w:rFonts w:ascii="Times New Roman" w:hAnsi="Times New Roman" w:cs="Times New Roman"/>
          <w:sz w:val="24"/>
          <w:szCs w:val="24"/>
        </w:rPr>
        <w:t>与</w:t>
      </w:r>
      <w:r>
        <w:rPr>
          <w:rFonts w:ascii="Times New Roman" w:hAnsi="Times New Roman" w:cs="Times New Roman" w:hint="eastAsia"/>
          <w:sz w:val="24"/>
          <w:szCs w:val="24"/>
        </w:rPr>
        <w:t>有关的</w:t>
      </w:r>
      <w:r>
        <w:rPr>
          <w:rFonts w:ascii="Times New Roman" w:hAnsi="Times New Roman" w:cs="Times New Roman"/>
          <w:sz w:val="24"/>
          <w:szCs w:val="24"/>
        </w:rPr>
        <w:t>现行法律、法规和相关政策的关系</w:t>
      </w:r>
    </w:p>
    <w:p w:rsidR="00E93A88" w:rsidRDefault="0069018C">
      <w:pPr>
        <w:pStyle w:val="aa"/>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符合现行法律、法规和相关政策</w:t>
      </w:r>
      <w:r>
        <w:rPr>
          <w:rFonts w:ascii="Times New Roman" w:hAnsi="Times New Roman" w:cs="Times New Roman" w:hint="eastAsia"/>
          <w:sz w:val="24"/>
          <w:szCs w:val="24"/>
        </w:rPr>
        <w:t>的要求</w:t>
      </w:r>
      <w:r>
        <w:rPr>
          <w:rFonts w:ascii="Times New Roman" w:hAnsi="Times New Roman" w:cs="Times New Roman"/>
          <w:sz w:val="24"/>
          <w:szCs w:val="24"/>
        </w:rPr>
        <w:t>。</w:t>
      </w:r>
    </w:p>
    <w:p w:rsidR="00E93A88" w:rsidRDefault="0069018C">
      <w:pPr>
        <w:pStyle w:val="aa"/>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六、</w:t>
      </w:r>
      <w:r>
        <w:rPr>
          <w:rFonts w:ascii="Times New Roman" w:hAnsi="Times New Roman" w:cs="Times New Roman"/>
          <w:sz w:val="24"/>
          <w:szCs w:val="24"/>
        </w:rPr>
        <w:t>重大分歧意见的处理经过和依据</w:t>
      </w:r>
    </w:p>
    <w:p w:rsidR="00E93A88" w:rsidRDefault="0069018C">
      <w:pPr>
        <w:pStyle w:val="aa"/>
        <w:spacing w:line="360" w:lineRule="auto"/>
        <w:ind w:left="482" w:firstLineChars="0" w:firstLine="0"/>
        <w:rPr>
          <w:rFonts w:ascii="Times New Roman" w:hAnsi="Times New Roman" w:cs="Times New Roman"/>
          <w:sz w:val="24"/>
          <w:szCs w:val="24"/>
        </w:rPr>
      </w:pPr>
      <w:r>
        <w:rPr>
          <w:rFonts w:ascii="Times New Roman" w:hAnsi="Times New Roman" w:cs="Times New Roman" w:hint="eastAsia"/>
          <w:sz w:val="24"/>
          <w:szCs w:val="24"/>
        </w:rPr>
        <w:t>无。</w:t>
      </w:r>
    </w:p>
    <w:p w:rsidR="00E93A88" w:rsidRDefault="0069018C">
      <w:pPr>
        <w:pStyle w:val="aa"/>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七、</w:t>
      </w:r>
      <w:r>
        <w:rPr>
          <w:rFonts w:ascii="Times New Roman" w:hAnsi="Times New Roman" w:cs="Times New Roman"/>
          <w:sz w:val="24"/>
          <w:szCs w:val="24"/>
        </w:rPr>
        <w:t>标准性质的</w:t>
      </w:r>
      <w:r>
        <w:rPr>
          <w:rFonts w:ascii="Times New Roman" w:hAnsi="Times New Roman" w:cs="Times New Roman" w:hint="eastAsia"/>
          <w:sz w:val="24"/>
          <w:szCs w:val="24"/>
        </w:rPr>
        <w:t>意义</w:t>
      </w:r>
    </w:p>
    <w:p w:rsidR="00E93A88" w:rsidRDefault="0069018C">
      <w:pPr>
        <w:pStyle w:val="aa"/>
        <w:spacing w:line="480" w:lineRule="auto"/>
        <w:ind w:left="480" w:firstLineChars="0" w:firstLine="0"/>
        <w:rPr>
          <w:rFonts w:ascii="Times New Roman" w:hAnsi="Times New Roman" w:cs="Times New Roman"/>
          <w:sz w:val="24"/>
          <w:szCs w:val="24"/>
        </w:rPr>
      </w:pPr>
      <w:r>
        <w:rPr>
          <w:rFonts w:ascii="Times New Roman" w:hAnsi="Times New Roman" w:cs="Times New Roman" w:hint="eastAsia"/>
          <w:sz w:val="24"/>
          <w:szCs w:val="24"/>
        </w:rPr>
        <w:t>本标准</w:t>
      </w:r>
      <w:r>
        <w:rPr>
          <w:rFonts w:ascii="Times New Roman" w:hAnsi="Times New Roman" w:cs="Times New Roman"/>
          <w:sz w:val="24"/>
          <w:szCs w:val="24"/>
        </w:rPr>
        <w:t>为</w:t>
      </w:r>
      <w:r>
        <w:rPr>
          <w:rFonts w:ascii="Times New Roman" w:hAnsi="Times New Roman" w:cs="Times New Roman" w:hint="eastAsia"/>
          <w:sz w:val="24"/>
          <w:szCs w:val="24"/>
        </w:rPr>
        <w:t>推荐性</w:t>
      </w:r>
      <w:r>
        <w:rPr>
          <w:rFonts w:ascii="Times New Roman" w:hAnsi="Times New Roman" w:cs="Times New Roman"/>
          <w:sz w:val="24"/>
          <w:szCs w:val="24"/>
        </w:rPr>
        <w:t>行业</w:t>
      </w:r>
      <w:r>
        <w:rPr>
          <w:rFonts w:ascii="Times New Roman" w:hAnsi="Times New Roman" w:cs="Times New Roman" w:hint="eastAsia"/>
          <w:sz w:val="24"/>
          <w:szCs w:val="24"/>
        </w:rPr>
        <w:t>标准。</w:t>
      </w:r>
    </w:p>
    <w:p w:rsidR="00E93A88" w:rsidRDefault="0069018C">
      <w:pPr>
        <w:pStyle w:val="aa"/>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八、贯彻</w:t>
      </w:r>
      <w:r>
        <w:rPr>
          <w:rFonts w:ascii="Times New Roman" w:hAnsi="Times New Roman" w:cs="Times New Roman"/>
          <w:sz w:val="24"/>
          <w:szCs w:val="24"/>
        </w:rPr>
        <w:t>标准的要求和建议</w:t>
      </w:r>
      <w:r>
        <w:rPr>
          <w:rFonts w:ascii="Times New Roman" w:hAnsi="Times New Roman" w:cs="Times New Roman" w:hint="eastAsia"/>
          <w:sz w:val="24"/>
          <w:szCs w:val="24"/>
        </w:rPr>
        <w:t>措施</w:t>
      </w:r>
    </w:p>
    <w:p w:rsidR="009A31CB" w:rsidRDefault="009A31CB" w:rsidP="009A31CB">
      <w:pPr>
        <w:pStyle w:val="aa"/>
        <w:spacing w:line="480" w:lineRule="auto"/>
        <w:ind w:firstLine="480"/>
        <w:rPr>
          <w:rFonts w:ascii="Times New Roman" w:hAnsi="Times New Roman" w:cs="Times New Roman" w:hint="eastAsia"/>
          <w:sz w:val="24"/>
          <w:szCs w:val="24"/>
        </w:rPr>
      </w:pPr>
      <w:r w:rsidRPr="009A31CB">
        <w:rPr>
          <w:rFonts w:ascii="Times New Roman" w:hAnsi="Times New Roman" w:cs="Times New Roman" w:hint="eastAsia"/>
          <w:sz w:val="24"/>
          <w:szCs w:val="24"/>
        </w:rPr>
        <w:t>建议本标准批准发布</w:t>
      </w:r>
      <w:r w:rsidRPr="009A31CB">
        <w:rPr>
          <w:rFonts w:ascii="Times New Roman" w:hAnsi="Times New Roman" w:cs="Times New Roman" w:hint="eastAsia"/>
          <w:sz w:val="24"/>
          <w:szCs w:val="24"/>
        </w:rPr>
        <w:t>9</w:t>
      </w:r>
      <w:r w:rsidRPr="009A31CB">
        <w:rPr>
          <w:rFonts w:ascii="Times New Roman" w:hAnsi="Times New Roman" w:cs="Times New Roman" w:hint="eastAsia"/>
          <w:sz w:val="24"/>
          <w:szCs w:val="24"/>
        </w:rPr>
        <w:t>个月后实施。</w:t>
      </w:r>
    </w:p>
    <w:p w:rsidR="00E93A88" w:rsidRDefault="0069018C" w:rsidP="009A31CB">
      <w:pPr>
        <w:pStyle w:val="aa"/>
        <w:spacing w:line="480" w:lineRule="auto"/>
        <w:ind w:firstLine="480"/>
        <w:rPr>
          <w:rFonts w:ascii="Times New Roman" w:hAnsi="Times New Roman" w:cs="Times New Roman"/>
          <w:sz w:val="24"/>
          <w:szCs w:val="24"/>
        </w:rPr>
      </w:pPr>
      <w:r>
        <w:rPr>
          <w:rFonts w:ascii="Times New Roman" w:hAnsi="Times New Roman" w:cs="Times New Roman" w:hint="eastAsia"/>
          <w:sz w:val="24"/>
          <w:szCs w:val="24"/>
        </w:rPr>
        <w:t>九、废止现行有关标准</w:t>
      </w:r>
      <w:r>
        <w:rPr>
          <w:rFonts w:ascii="Times New Roman" w:hAnsi="Times New Roman" w:cs="Times New Roman"/>
          <w:sz w:val="24"/>
          <w:szCs w:val="24"/>
        </w:rPr>
        <w:t>的建议</w:t>
      </w:r>
    </w:p>
    <w:p w:rsidR="00E93A88" w:rsidRDefault="0069018C">
      <w:pPr>
        <w:pStyle w:val="aa"/>
        <w:spacing w:line="480" w:lineRule="auto"/>
        <w:ind w:firstLine="48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无</w:t>
      </w:r>
    </w:p>
    <w:p w:rsidR="00E93A88" w:rsidRDefault="0069018C">
      <w:pPr>
        <w:pStyle w:val="aa"/>
        <w:spacing w:line="48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十、其他应予</w:t>
      </w:r>
      <w:r>
        <w:rPr>
          <w:rFonts w:ascii="Times New Roman" w:hAnsi="Times New Roman" w:cs="Times New Roman"/>
          <w:sz w:val="24"/>
          <w:szCs w:val="24"/>
        </w:rPr>
        <w:t>说明的</w:t>
      </w:r>
      <w:r>
        <w:rPr>
          <w:rFonts w:ascii="Times New Roman" w:hAnsi="Times New Roman" w:cs="Times New Roman" w:hint="eastAsia"/>
          <w:sz w:val="24"/>
          <w:szCs w:val="24"/>
        </w:rPr>
        <w:t>事项</w:t>
      </w:r>
    </w:p>
    <w:p w:rsidR="00E93A88" w:rsidRPr="009A31CB" w:rsidRDefault="009A31CB" w:rsidP="009A31CB">
      <w:pPr>
        <w:rPr>
          <w:rFonts w:hint="eastAsia"/>
          <w:sz w:val="24"/>
          <w:szCs w:val="24"/>
        </w:rPr>
      </w:pPr>
      <w:r w:rsidRPr="009A31CB">
        <w:rPr>
          <w:rFonts w:hint="eastAsia"/>
          <w:sz w:val="24"/>
          <w:szCs w:val="24"/>
        </w:rPr>
        <w:t xml:space="preserve">    </w:t>
      </w:r>
      <w:r w:rsidRPr="009A31CB">
        <w:rPr>
          <w:rFonts w:hint="eastAsia"/>
          <w:sz w:val="24"/>
          <w:szCs w:val="24"/>
        </w:rPr>
        <w:t>无</w:t>
      </w:r>
    </w:p>
    <w:sectPr w:rsidR="00E93A88" w:rsidRPr="009A3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C7" w:rsidRDefault="00F563C7" w:rsidP="00177C0E">
      <w:r>
        <w:separator/>
      </w:r>
    </w:p>
  </w:endnote>
  <w:endnote w:type="continuationSeparator" w:id="0">
    <w:p w:rsidR="00F563C7" w:rsidRDefault="00F563C7" w:rsidP="0017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C7" w:rsidRDefault="00F563C7" w:rsidP="00177C0E">
      <w:r>
        <w:separator/>
      </w:r>
    </w:p>
  </w:footnote>
  <w:footnote w:type="continuationSeparator" w:id="0">
    <w:p w:rsidR="00F563C7" w:rsidRDefault="00F563C7" w:rsidP="00177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023A"/>
    <w:multiLevelType w:val="multilevel"/>
    <w:tmpl w:val="AE6D023A"/>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F8CB345E"/>
    <w:multiLevelType w:val="singleLevel"/>
    <w:tmpl w:val="F8CB345E"/>
    <w:lvl w:ilvl="0">
      <w:start w:val="2"/>
      <w:numFmt w:val="decimalFullWidth"/>
      <w:suff w:val="nothing"/>
      <w:lvlText w:val="%1、"/>
      <w:lvlJc w:val="left"/>
      <w:rPr>
        <w:rFonts w:hint="eastAsia"/>
      </w:rPr>
    </w:lvl>
  </w:abstractNum>
  <w:abstractNum w:abstractNumId="2">
    <w:nsid w:val="FD236B5B"/>
    <w:multiLevelType w:val="singleLevel"/>
    <w:tmpl w:val="FD236B5B"/>
    <w:lvl w:ilvl="0">
      <w:start w:val="3"/>
      <w:numFmt w:val="decimalFullWidth"/>
      <w:suff w:val="nothing"/>
      <w:lvlText w:val="%1、"/>
      <w:lvlJc w:val="left"/>
      <w:rPr>
        <w:rFonts w:hint="eastAsia"/>
      </w:rPr>
    </w:lvl>
  </w:abstractNum>
  <w:abstractNum w:abstractNumId="3">
    <w:nsid w:val="03D40689"/>
    <w:multiLevelType w:val="multilevel"/>
    <w:tmpl w:val="03D4068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733F0101"/>
    <w:multiLevelType w:val="multilevel"/>
    <w:tmpl w:val="733F0101"/>
    <w:lvl w:ilvl="0">
      <w:start w:val="1"/>
      <w:numFmt w:val="japaneseCounting"/>
      <w:lvlText w:val="（%1）"/>
      <w:lvlJc w:val="left"/>
      <w:pPr>
        <w:ind w:left="578"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0E3"/>
    <w:rsid w:val="00177C0E"/>
    <w:rsid w:val="0069018C"/>
    <w:rsid w:val="009A31CB"/>
    <w:rsid w:val="00E93A88"/>
    <w:rsid w:val="00F563C7"/>
    <w:rsid w:val="1B594C85"/>
    <w:rsid w:val="25E75161"/>
    <w:rsid w:val="560362E4"/>
    <w:rsid w:val="639E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2">
    <w:name w:val="三级条标题"/>
    <w:basedOn w:val="a6"/>
    <w:qFormat/>
    <w:pPr>
      <w:numPr>
        <w:ilvl w:val="3"/>
        <w:numId w:val="1"/>
      </w:numPr>
      <w:spacing w:before="65466" w:after="65466"/>
      <w:ind w:left="0"/>
      <w:outlineLvl w:val="4"/>
    </w:pPr>
    <w:rPr>
      <w:rFonts w:ascii="黑体" w:eastAsia="黑体" w:hAnsi="黑体" w:cs="Times New Roman"/>
      <w:szCs w:val="21"/>
    </w:rPr>
  </w:style>
  <w:style w:type="paragraph" w:customStyle="1" w:styleId="a">
    <w:name w:val="章标题"/>
    <w:basedOn w:val="a6"/>
    <w:qFormat/>
    <w:pPr>
      <w:numPr>
        <w:numId w:val="1"/>
      </w:numPr>
    </w:pPr>
  </w:style>
  <w:style w:type="paragraph" w:customStyle="1" w:styleId="a0">
    <w:name w:val="一级条标题"/>
    <w:basedOn w:val="a6"/>
    <w:qFormat/>
    <w:pPr>
      <w:numPr>
        <w:ilvl w:val="1"/>
        <w:numId w:val="1"/>
      </w:numPr>
    </w:pPr>
  </w:style>
  <w:style w:type="paragraph" w:customStyle="1" w:styleId="a1">
    <w:name w:val="二级条标题"/>
    <w:basedOn w:val="a6"/>
    <w:qFormat/>
    <w:pPr>
      <w:numPr>
        <w:ilvl w:val="2"/>
        <w:numId w:val="1"/>
      </w:numPr>
    </w:pPr>
  </w:style>
  <w:style w:type="paragraph" w:customStyle="1" w:styleId="a3">
    <w:name w:val="四级条标题"/>
    <w:basedOn w:val="a6"/>
    <w:qFormat/>
    <w:pPr>
      <w:numPr>
        <w:ilvl w:val="4"/>
        <w:numId w:val="1"/>
      </w:numPr>
    </w:pPr>
  </w:style>
  <w:style w:type="paragraph" w:customStyle="1" w:styleId="a4">
    <w:name w:val="五级条标题"/>
    <w:basedOn w:val="a6"/>
    <w:pPr>
      <w:numPr>
        <w:ilvl w:val="5"/>
        <w:numId w:val="1"/>
      </w:numPr>
    </w:pPr>
  </w:style>
  <w:style w:type="paragraph" w:styleId="aa">
    <w:name w:val="List Paragraph"/>
    <w:basedOn w:val="a6"/>
    <w:uiPriority w:val="34"/>
    <w:qFormat/>
    <w:pPr>
      <w:ind w:firstLineChars="200" w:firstLine="420"/>
    </w:p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5">
    <w:name w:val="正文表标题"/>
    <w:next w:val="ab"/>
    <w:qFormat/>
    <w:pPr>
      <w:numPr>
        <w:numId w:val="2"/>
      </w:numPr>
      <w:tabs>
        <w:tab w:val="left" w:pos="360"/>
      </w:tabs>
      <w:spacing w:beforeLines="50" w:before="156" w:afterLines="50" w:after="156"/>
      <w:jc w:val="center"/>
    </w:pPr>
    <w:rPr>
      <w:rFonts w:ascii="黑体" w:eastAsia="黑体" w:hAnsi="Calibri"/>
      <w:sz w:val="21"/>
    </w:rPr>
  </w:style>
  <w:style w:type="paragraph" w:styleId="ac">
    <w:name w:val="header"/>
    <w:basedOn w:val="a6"/>
    <w:link w:val="Char"/>
    <w:rsid w:val="00177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c"/>
    <w:rsid w:val="00177C0E"/>
    <w:rPr>
      <w:rFonts w:asciiTheme="minorHAnsi" w:eastAsiaTheme="minorEastAsia" w:hAnsiTheme="minorHAnsi" w:cstheme="minorBidi"/>
      <w:kern w:val="2"/>
      <w:sz w:val="18"/>
      <w:szCs w:val="18"/>
    </w:rPr>
  </w:style>
  <w:style w:type="paragraph" w:styleId="ad">
    <w:name w:val="footer"/>
    <w:basedOn w:val="a6"/>
    <w:link w:val="Char0"/>
    <w:rsid w:val="00177C0E"/>
    <w:pPr>
      <w:tabs>
        <w:tab w:val="center" w:pos="4153"/>
        <w:tab w:val="right" w:pos="8306"/>
      </w:tabs>
      <w:snapToGrid w:val="0"/>
      <w:jc w:val="left"/>
    </w:pPr>
    <w:rPr>
      <w:sz w:val="18"/>
      <w:szCs w:val="18"/>
    </w:rPr>
  </w:style>
  <w:style w:type="character" w:customStyle="1" w:styleId="Char0">
    <w:name w:val="页脚 Char"/>
    <w:basedOn w:val="a7"/>
    <w:link w:val="ad"/>
    <w:rsid w:val="00177C0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2">
    <w:name w:val="三级条标题"/>
    <w:basedOn w:val="a6"/>
    <w:qFormat/>
    <w:pPr>
      <w:numPr>
        <w:ilvl w:val="3"/>
        <w:numId w:val="1"/>
      </w:numPr>
      <w:spacing w:before="65466" w:after="65466"/>
      <w:ind w:left="0"/>
      <w:outlineLvl w:val="4"/>
    </w:pPr>
    <w:rPr>
      <w:rFonts w:ascii="黑体" w:eastAsia="黑体" w:hAnsi="黑体" w:cs="Times New Roman"/>
      <w:szCs w:val="21"/>
    </w:rPr>
  </w:style>
  <w:style w:type="paragraph" w:customStyle="1" w:styleId="a">
    <w:name w:val="章标题"/>
    <w:basedOn w:val="a6"/>
    <w:qFormat/>
    <w:pPr>
      <w:numPr>
        <w:numId w:val="1"/>
      </w:numPr>
    </w:pPr>
  </w:style>
  <w:style w:type="paragraph" w:customStyle="1" w:styleId="a0">
    <w:name w:val="一级条标题"/>
    <w:basedOn w:val="a6"/>
    <w:qFormat/>
    <w:pPr>
      <w:numPr>
        <w:ilvl w:val="1"/>
        <w:numId w:val="1"/>
      </w:numPr>
    </w:pPr>
  </w:style>
  <w:style w:type="paragraph" w:customStyle="1" w:styleId="a1">
    <w:name w:val="二级条标题"/>
    <w:basedOn w:val="a6"/>
    <w:qFormat/>
    <w:pPr>
      <w:numPr>
        <w:ilvl w:val="2"/>
        <w:numId w:val="1"/>
      </w:numPr>
    </w:pPr>
  </w:style>
  <w:style w:type="paragraph" w:customStyle="1" w:styleId="a3">
    <w:name w:val="四级条标题"/>
    <w:basedOn w:val="a6"/>
    <w:qFormat/>
    <w:pPr>
      <w:numPr>
        <w:ilvl w:val="4"/>
        <w:numId w:val="1"/>
      </w:numPr>
    </w:pPr>
  </w:style>
  <w:style w:type="paragraph" w:customStyle="1" w:styleId="a4">
    <w:name w:val="五级条标题"/>
    <w:basedOn w:val="a6"/>
    <w:pPr>
      <w:numPr>
        <w:ilvl w:val="5"/>
        <w:numId w:val="1"/>
      </w:numPr>
    </w:pPr>
  </w:style>
  <w:style w:type="paragraph" w:styleId="aa">
    <w:name w:val="List Paragraph"/>
    <w:basedOn w:val="a6"/>
    <w:uiPriority w:val="34"/>
    <w:qFormat/>
    <w:pPr>
      <w:ind w:firstLineChars="200" w:firstLine="420"/>
    </w:pPr>
  </w:style>
  <w:style w:type="paragraph" w:customStyle="1" w:styleId="ab">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5">
    <w:name w:val="正文表标题"/>
    <w:next w:val="ab"/>
    <w:qFormat/>
    <w:pPr>
      <w:numPr>
        <w:numId w:val="2"/>
      </w:numPr>
      <w:tabs>
        <w:tab w:val="left" w:pos="360"/>
      </w:tabs>
      <w:spacing w:beforeLines="50" w:before="156" w:afterLines="50" w:after="156"/>
      <w:jc w:val="center"/>
    </w:pPr>
    <w:rPr>
      <w:rFonts w:ascii="黑体" w:eastAsia="黑体" w:hAnsi="Calibri"/>
      <w:sz w:val="21"/>
    </w:rPr>
  </w:style>
  <w:style w:type="paragraph" w:styleId="ac">
    <w:name w:val="header"/>
    <w:basedOn w:val="a6"/>
    <w:link w:val="Char"/>
    <w:rsid w:val="00177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c"/>
    <w:rsid w:val="00177C0E"/>
    <w:rPr>
      <w:rFonts w:asciiTheme="minorHAnsi" w:eastAsiaTheme="minorEastAsia" w:hAnsiTheme="minorHAnsi" w:cstheme="minorBidi"/>
      <w:kern w:val="2"/>
      <w:sz w:val="18"/>
      <w:szCs w:val="18"/>
    </w:rPr>
  </w:style>
  <w:style w:type="paragraph" w:styleId="ad">
    <w:name w:val="footer"/>
    <w:basedOn w:val="a6"/>
    <w:link w:val="Char0"/>
    <w:rsid w:val="00177C0E"/>
    <w:pPr>
      <w:tabs>
        <w:tab w:val="center" w:pos="4153"/>
        <w:tab w:val="right" w:pos="8306"/>
      </w:tabs>
      <w:snapToGrid w:val="0"/>
      <w:jc w:val="left"/>
    </w:pPr>
    <w:rPr>
      <w:sz w:val="18"/>
      <w:szCs w:val="18"/>
    </w:rPr>
  </w:style>
  <w:style w:type="character" w:customStyle="1" w:styleId="Char0">
    <w:name w:val="页脚 Char"/>
    <w:basedOn w:val="a7"/>
    <w:link w:val="ad"/>
    <w:rsid w:val="00177C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291</Words>
  <Characters>1665</Characters>
  <Application>Microsoft Office Word</Application>
  <DocSecurity>0</DocSecurity>
  <Lines>13</Lines>
  <Paragraphs>3</Paragraphs>
  <ScaleCrop>false</ScaleCrop>
  <Company>微软中国</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gyb1</cp:lastModifiedBy>
  <cp:revision>3</cp:revision>
  <dcterms:created xsi:type="dcterms:W3CDTF">2019-10-30T01:10:00Z</dcterms:created>
  <dcterms:modified xsi:type="dcterms:W3CDTF">2019-10-30T01:23:00Z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